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9CD" w:rsidRDefault="00A609CD" w:rsidP="00A609CD">
      <w:pPr>
        <w:shd w:val="clear" w:color="auto" w:fill="FFFFFF"/>
        <w:spacing w:after="0" w:line="240" w:lineRule="auto"/>
        <w:ind w:right="22"/>
        <w:jc w:val="center"/>
        <w:rPr>
          <w:rFonts w:ascii="Times New Roman" w:hAnsi="Times New Roman"/>
          <w:b/>
          <w:sz w:val="28"/>
          <w:szCs w:val="28"/>
        </w:rPr>
      </w:pPr>
      <w:r>
        <w:rPr>
          <w:rFonts w:ascii="Times New Roman" w:hAnsi="Times New Roman"/>
          <w:b/>
          <w:sz w:val="28"/>
          <w:szCs w:val="28"/>
        </w:rPr>
        <w:t>Продовження теми 5 (питання 12)</w:t>
      </w:r>
    </w:p>
    <w:p w:rsidR="00A609CD" w:rsidRDefault="00A609CD" w:rsidP="00A609CD">
      <w:pPr>
        <w:shd w:val="clear" w:color="auto" w:fill="FFFFFF"/>
        <w:spacing w:after="0" w:line="240" w:lineRule="auto"/>
        <w:ind w:right="22"/>
        <w:jc w:val="center"/>
        <w:rPr>
          <w:rFonts w:ascii="Times New Roman" w:hAnsi="Times New Roman"/>
          <w:b/>
          <w:sz w:val="28"/>
          <w:szCs w:val="28"/>
        </w:rPr>
      </w:pPr>
    </w:p>
    <w:p w:rsidR="00A609CD" w:rsidRPr="006A7CBC" w:rsidRDefault="00A609CD" w:rsidP="00A609CD">
      <w:pPr>
        <w:pStyle w:val="a3"/>
        <w:numPr>
          <w:ilvl w:val="0"/>
          <w:numId w:val="1"/>
        </w:numPr>
        <w:shd w:val="clear" w:color="auto" w:fill="FFFFFF"/>
        <w:tabs>
          <w:tab w:val="left" w:pos="1134"/>
        </w:tabs>
        <w:spacing w:after="0" w:line="240" w:lineRule="auto"/>
        <w:ind w:right="22"/>
        <w:jc w:val="center"/>
        <w:rPr>
          <w:rFonts w:ascii="Times New Roman" w:hAnsi="Times New Roman"/>
          <w:b/>
          <w:sz w:val="28"/>
          <w:szCs w:val="28"/>
        </w:rPr>
      </w:pPr>
      <w:r w:rsidRPr="006A7CBC">
        <w:rPr>
          <w:rFonts w:ascii="Times New Roman" w:hAnsi="Times New Roman"/>
          <w:b/>
          <w:sz w:val="28"/>
          <w:szCs w:val="28"/>
        </w:rPr>
        <w:t xml:space="preserve">Синтетичний і аналітичний облік </w:t>
      </w:r>
      <w:r w:rsidRPr="006A7CBC">
        <w:rPr>
          <w:rFonts w:ascii="Times New Roman" w:hAnsi="Times New Roman"/>
          <w:b/>
          <w:spacing w:val="7"/>
          <w:sz w:val="28"/>
          <w:szCs w:val="28"/>
        </w:rPr>
        <w:t xml:space="preserve">поточних біологічних активів </w:t>
      </w:r>
      <w:r w:rsidRPr="006A7CBC">
        <w:rPr>
          <w:rFonts w:ascii="Times New Roman" w:hAnsi="Times New Roman"/>
          <w:b/>
          <w:spacing w:val="5"/>
          <w:sz w:val="28"/>
          <w:szCs w:val="28"/>
        </w:rPr>
        <w:t>тваринництва</w:t>
      </w:r>
    </w:p>
    <w:p w:rsidR="00A609CD" w:rsidRDefault="00A609CD" w:rsidP="00A609CD">
      <w:pPr>
        <w:pStyle w:val="a3"/>
        <w:shd w:val="clear" w:color="auto" w:fill="FFFFFF"/>
        <w:spacing w:after="0" w:line="240" w:lineRule="auto"/>
        <w:ind w:left="-142" w:right="22" w:firstLine="993"/>
        <w:jc w:val="both"/>
        <w:rPr>
          <w:rFonts w:ascii="Times New Roman" w:hAnsi="Times New Roman"/>
          <w:sz w:val="28"/>
          <w:szCs w:val="28"/>
        </w:rPr>
      </w:pPr>
      <w:r>
        <w:rPr>
          <w:rFonts w:ascii="Times New Roman" w:hAnsi="Times New Roman"/>
          <w:sz w:val="28"/>
          <w:szCs w:val="28"/>
        </w:rPr>
        <w:t>Облік поточних біологічних активів ведуть на рахунку 21 «Поточні біологічні активи». Цей рахунок активний, основний, матеріальний. По дебету рахунку відображають залишок на початок місяця (наявність ПБА на початок звітного періоду), надходження ПБА, приріст живої маси та залишок на кінець місяця (наявність ПБА на кінець звітного періоду), а по кредиту – вибуття ПБА.</w:t>
      </w:r>
    </w:p>
    <w:p w:rsidR="00A609CD" w:rsidRDefault="00A609CD" w:rsidP="00A609CD">
      <w:pPr>
        <w:pStyle w:val="a3"/>
        <w:shd w:val="clear" w:color="auto" w:fill="FFFFFF"/>
        <w:spacing w:after="0" w:line="240" w:lineRule="auto"/>
        <w:ind w:left="-142" w:right="22" w:firstLine="993"/>
        <w:rPr>
          <w:rFonts w:ascii="Times New Roman" w:hAnsi="Times New Roman"/>
          <w:sz w:val="28"/>
          <w:szCs w:val="28"/>
        </w:rPr>
      </w:pPr>
      <w:r>
        <w:rPr>
          <w:rFonts w:ascii="Times New Roman" w:hAnsi="Times New Roman"/>
          <w:sz w:val="28"/>
          <w:szCs w:val="28"/>
        </w:rPr>
        <w:t>Рахунок має 3 субрахунки:</w:t>
      </w:r>
    </w:p>
    <w:p w:rsidR="00A609CD" w:rsidRDefault="00A609CD" w:rsidP="00A609CD">
      <w:pPr>
        <w:pStyle w:val="a3"/>
        <w:shd w:val="clear" w:color="auto" w:fill="FFFFFF"/>
        <w:spacing w:after="0" w:line="240" w:lineRule="auto"/>
        <w:ind w:left="-142" w:right="22" w:firstLine="993"/>
        <w:jc w:val="both"/>
        <w:rPr>
          <w:rFonts w:ascii="Times New Roman" w:hAnsi="Times New Roman"/>
          <w:sz w:val="28"/>
          <w:szCs w:val="28"/>
        </w:rPr>
      </w:pPr>
      <w:r>
        <w:rPr>
          <w:rFonts w:ascii="Times New Roman" w:hAnsi="Times New Roman"/>
          <w:sz w:val="28"/>
          <w:szCs w:val="28"/>
        </w:rPr>
        <w:t>211 – Поточні біологічні активи рослинництва, які оцінені за справедливою вартістю.</w:t>
      </w:r>
    </w:p>
    <w:p w:rsidR="00A609CD" w:rsidRDefault="00A609CD" w:rsidP="00A609CD">
      <w:pPr>
        <w:pStyle w:val="a3"/>
        <w:shd w:val="clear" w:color="auto" w:fill="FFFFFF"/>
        <w:spacing w:after="0" w:line="240" w:lineRule="auto"/>
        <w:ind w:left="-142" w:right="22" w:firstLine="993"/>
        <w:jc w:val="both"/>
        <w:rPr>
          <w:rFonts w:ascii="Times New Roman" w:hAnsi="Times New Roman"/>
          <w:sz w:val="28"/>
          <w:szCs w:val="28"/>
        </w:rPr>
      </w:pPr>
      <w:r>
        <w:rPr>
          <w:rFonts w:ascii="Times New Roman" w:hAnsi="Times New Roman"/>
          <w:sz w:val="28"/>
          <w:szCs w:val="28"/>
        </w:rPr>
        <w:t>212 – Поточні біологічні активи тваринництва, які оцінені за справедливою вартістю.</w:t>
      </w:r>
    </w:p>
    <w:p w:rsidR="00A609CD" w:rsidRDefault="00A609CD" w:rsidP="00A609CD">
      <w:pPr>
        <w:pStyle w:val="a3"/>
        <w:shd w:val="clear" w:color="auto" w:fill="FFFFFF"/>
        <w:spacing w:after="0" w:line="240" w:lineRule="auto"/>
        <w:ind w:left="-142" w:right="22" w:firstLine="993"/>
        <w:jc w:val="both"/>
        <w:rPr>
          <w:rFonts w:ascii="Times New Roman" w:hAnsi="Times New Roman"/>
          <w:sz w:val="28"/>
          <w:szCs w:val="28"/>
        </w:rPr>
      </w:pPr>
      <w:r>
        <w:rPr>
          <w:rFonts w:ascii="Times New Roman" w:hAnsi="Times New Roman"/>
          <w:sz w:val="28"/>
          <w:szCs w:val="28"/>
        </w:rPr>
        <w:t>213 – Поточні біологічні активи тваринництва, які оцінені за первісною вартістю.</w:t>
      </w:r>
    </w:p>
    <w:p w:rsidR="00A609CD" w:rsidRDefault="00A609CD" w:rsidP="00A609CD">
      <w:pPr>
        <w:pStyle w:val="a3"/>
        <w:shd w:val="clear" w:color="auto" w:fill="FFFFFF"/>
        <w:spacing w:after="0" w:line="240" w:lineRule="auto"/>
        <w:ind w:left="-142" w:right="22" w:firstLine="993"/>
        <w:jc w:val="center"/>
        <w:rPr>
          <w:rFonts w:ascii="Times New Roman" w:hAnsi="Times New Roman"/>
          <w:sz w:val="28"/>
          <w:szCs w:val="28"/>
        </w:rPr>
      </w:pPr>
      <w:r w:rsidRPr="00A95233">
        <w:rPr>
          <w:rFonts w:ascii="Times New Roman" w:hAnsi="Times New Roman"/>
          <w:b/>
          <w:sz w:val="28"/>
          <w:szCs w:val="28"/>
        </w:rPr>
        <w:t>Можлива кореспонденція рахунків</w:t>
      </w:r>
    </w:p>
    <w:tbl>
      <w:tblPr>
        <w:tblStyle w:val="a4"/>
        <w:tblW w:w="0" w:type="auto"/>
        <w:tblInd w:w="-142" w:type="dxa"/>
        <w:tblLook w:val="04A0"/>
      </w:tblPr>
      <w:tblGrid>
        <w:gridCol w:w="590"/>
        <w:gridCol w:w="5953"/>
        <w:gridCol w:w="1418"/>
        <w:gridCol w:w="1411"/>
      </w:tblGrid>
      <w:tr w:rsidR="00A609CD" w:rsidTr="009A780A">
        <w:tc>
          <w:tcPr>
            <w:tcW w:w="590" w:type="dxa"/>
            <w:vMerge w:val="restart"/>
            <w:vAlign w:val="center"/>
          </w:tcPr>
          <w:p w:rsidR="00A609CD" w:rsidRPr="00D57B5C" w:rsidRDefault="00A609CD" w:rsidP="009A780A">
            <w:pPr>
              <w:pStyle w:val="a3"/>
              <w:ind w:left="0" w:right="22"/>
              <w:jc w:val="center"/>
              <w:rPr>
                <w:rFonts w:ascii="Times New Roman" w:hAnsi="Times New Roman"/>
                <w:b/>
                <w:sz w:val="28"/>
                <w:szCs w:val="28"/>
              </w:rPr>
            </w:pPr>
            <w:r w:rsidRPr="00D57B5C">
              <w:rPr>
                <w:rFonts w:ascii="Times New Roman" w:hAnsi="Times New Roman"/>
                <w:b/>
                <w:sz w:val="28"/>
                <w:szCs w:val="28"/>
              </w:rPr>
              <w:t>№ з/п</w:t>
            </w:r>
          </w:p>
        </w:tc>
        <w:tc>
          <w:tcPr>
            <w:tcW w:w="5953" w:type="dxa"/>
            <w:vMerge w:val="restart"/>
            <w:vAlign w:val="center"/>
          </w:tcPr>
          <w:p w:rsidR="00A609CD" w:rsidRPr="00D57B5C" w:rsidRDefault="00A609CD" w:rsidP="009A780A">
            <w:pPr>
              <w:pStyle w:val="a3"/>
              <w:ind w:left="0" w:right="22"/>
              <w:jc w:val="center"/>
              <w:rPr>
                <w:rFonts w:ascii="Times New Roman" w:hAnsi="Times New Roman"/>
                <w:b/>
                <w:sz w:val="28"/>
                <w:szCs w:val="28"/>
              </w:rPr>
            </w:pPr>
            <w:r w:rsidRPr="00D57B5C">
              <w:rPr>
                <w:rFonts w:ascii="Times New Roman" w:hAnsi="Times New Roman"/>
                <w:b/>
                <w:sz w:val="28"/>
                <w:szCs w:val="28"/>
              </w:rPr>
              <w:t>Зміст господарських операцій</w:t>
            </w:r>
          </w:p>
        </w:tc>
        <w:tc>
          <w:tcPr>
            <w:tcW w:w="2829" w:type="dxa"/>
            <w:gridSpan w:val="2"/>
            <w:vAlign w:val="center"/>
          </w:tcPr>
          <w:p w:rsidR="00A609CD" w:rsidRPr="00D57B5C" w:rsidRDefault="00A609CD" w:rsidP="009A780A">
            <w:pPr>
              <w:pStyle w:val="a3"/>
              <w:ind w:left="0" w:right="22"/>
              <w:jc w:val="center"/>
              <w:rPr>
                <w:rFonts w:ascii="Times New Roman" w:hAnsi="Times New Roman"/>
                <w:b/>
                <w:sz w:val="28"/>
                <w:szCs w:val="28"/>
              </w:rPr>
            </w:pPr>
            <w:r w:rsidRPr="00D57B5C">
              <w:rPr>
                <w:rFonts w:ascii="Times New Roman" w:hAnsi="Times New Roman"/>
                <w:b/>
                <w:sz w:val="28"/>
                <w:szCs w:val="28"/>
              </w:rPr>
              <w:t>Бухгалтерська проводка</w:t>
            </w:r>
          </w:p>
        </w:tc>
      </w:tr>
      <w:tr w:rsidR="00A609CD" w:rsidTr="009A780A">
        <w:tc>
          <w:tcPr>
            <w:tcW w:w="590" w:type="dxa"/>
            <w:vMerge/>
            <w:vAlign w:val="center"/>
          </w:tcPr>
          <w:p w:rsidR="00A609CD" w:rsidRPr="00D57B5C" w:rsidRDefault="00A609CD" w:rsidP="009A780A">
            <w:pPr>
              <w:pStyle w:val="a3"/>
              <w:ind w:left="0" w:right="22"/>
              <w:jc w:val="center"/>
              <w:rPr>
                <w:rFonts w:ascii="Times New Roman" w:hAnsi="Times New Roman"/>
                <w:b/>
                <w:sz w:val="28"/>
                <w:szCs w:val="28"/>
              </w:rPr>
            </w:pPr>
          </w:p>
        </w:tc>
        <w:tc>
          <w:tcPr>
            <w:tcW w:w="5953" w:type="dxa"/>
            <w:vMerge/>
            <w:vAlign w:val="center"/>
          </w:tcPr>
          <w:p w:rsidR="00A609CD" w:rsidRPr="00D57B5C" w:rsidRDefault="00A609CD" w:rsidP="009A780A">
            <w:pPr>
              <w:pStyle w:val="a3"/>
              <w:ind w:left="0" w:right="22"/>
              <w:jc w:val="center"/>
              <w:rPr>
                <w:rFonts w:ascii="Times New Roman" w:hAnsi="Times New Roman"/>
                <w:b/>
                <w:sz w:val="28"/>
                <w:szCs w:val="28"/>
              </w:rPr>
            </w:pPr>
          </w:p>
        </w:tc>
        <w:tc>
          <w:tcPr>
            <w:tcW w:w="1418" w:type="dxa"/>
            <w:vAlign w:val="center"/>
          </w:tcPr>
          <w:p w:rsidR="00A609CD" w:rsidRPr="00D57B5C" w:rsidRDefault="00A609CD" w:rsidP="009A780A">
            <w:pPr>
              <w:pStyle w:val="a3"/>
              <w:ind w:left="0" w:right="22"/>
              <w:jc w:val="center"/>
              <w:rPr>
                <w:rFonts w:ascii="Times New Roman" w:hAnsi="Times New Roman"/>
                <w:b/>
                <w:sz w:val="28"/>
                <w:szCs w:val="28"/>
                <w:vertAlign w:val="superscript"/>
              </w:rPr>
            </w:pPr>
            <w:r w:rsidRPr="00D57B5C">
              <w:rPr>
                <w:rFonts w:ascii="Times New Roman" w:hAnsi="Times New Roman"/>
                <w:b/>
                <w:sz w:val="28"/>
                <w:szCs w:val="28"/>
              </w:rPr>
              <w:t>Д</w:t>
            </w:r>
            <w:r w:rsidRPr="00D57B5C">
              <w:rPr>
                <w:rFonts w:ascii="Times New Roman" w:hAnsi="Times New Roman"/>
                <w:b/>
                <w:sz w:val="28"/>
                <w:szCs w:val="28"/>
                <w:vertAlign w:val="superscript"/>
              </w:rPr>
              <w:t>т</w:t>
            </w:r>
          </w:p>
        </w:tc>
        <w:tc>
          <w:tcPr>
            <w:tcW w:w="1411" w:type="dxa"/>
            <w:vAlign w:val="center"/>
          </w:tcPr>
          <w:p w:rsidR="00A609CD" w:rsidRPr="00D57B5C" w:rsidRDefault="00A609CD" w:rsidP="009A780A">
            <w:pPr>
              <w:pStyle w:val="a3"/>
              <w:ind w:left="0" w:right="22"/>
              <w:jc w:val="center"/>
              <w:rPr>
                <w:rFonts w:ascii="Times New Roman" w:hAnsi="Times New Roman"/>
                <w:b/>
                <w:sz w:val="28"/>
                <w:szCs w:val="28"/>
                <w:vertAlign w:val="superscript"/>
              </w:rPr>
            </w:pPr>
            <w:r w:rsidRPr="00D57B5C">
              <w:rPr>
                <w:rFonts w:ascii="Times New Roman" w:hAnsi="Times New Roman"/>
                <w:b/>
                <w:sz w:val="28"/>
                <w:szCs w:val="28"/>
              </w:rPr>
              <w:t>К</w:t>
            </w:r>
            <w:r w:rsidRPr="00D57B5C">
              <w:rPr>
                <w:rFonts w:ascii="Times New Roman" w:hAnsi="Times New Roman"/>
                <w:b/>
                <w:sz w:val="28"/>
                <w:szCs w:val="28"/>
                <w:vertAlign w:val="superscript"/>
              </w:rPr>
              <w:t>т</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Оприбутковано приплід тварин (крім коней)</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232</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Оприбутковано приріст тварин (крім коней)</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232</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Оприбутковано приплід коней</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2345</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4.</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Придбано ПБА у постачальника</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63</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5.</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Облічений ПДВ (податковий кредит)</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64</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63</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Нарахована заробітна плата працівникам за доставку куплених ПБА</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66</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Нарахований ЄСВ на заробітну плату працівників за доставку куплених ПБА</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651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8.</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Створено резерв на виплату відпусток на заробітну плату працівників за доставку куплених ПБА</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471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9.</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Згодовані корми в дорозі</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208</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10.</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Списано витрати по відрядженню пов’язані з доставкою придбаних ПБА</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372</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11.</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Придбано ПБА підзвітною особою за готівку</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372</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12.</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Облічений ПДВ (податковий кредит)</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64</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372</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13.</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Закуплено ПБА у населення</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377</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14.</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Придбано ПБА у інших організацій</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685</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15.</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Облічений ПДВ (податковий кредит)</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64</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685</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16.</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Одержано ПБА безоплатно</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718</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lastRenderedPageBreak/>
              <w:t>17.</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Вибракувано тварину (ДБА) з основного стада і поставлено на відгодівлю</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16</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18.</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Оприбутковано лишки ПБА, виявлені при інвентаризації</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719</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19.</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Переведено тварини з групу в групу, з однієї ферми на іншу</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20.</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 xml:space="preserve">Реалізовано тварини </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90</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Нараховано дохід на покупців за реалізованих тварин</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36</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70</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22.</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Нарахований ПДВ (податкове зобов’язання)</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70</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64</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23.</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Надійшли кошти на поточний рахунок від покупців за реалізованих тварин</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31</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36</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24.</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Забито, дорізано тварину</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233</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25.</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Переведено тварину в основне стадо і зараховано на баланс (до складу ДБА)</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155</w:t>
            </w: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16</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155</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26.</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Відображено падіж тварин</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24</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27.</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Виявлено нестачу тварин при інвентаризації</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947</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28.</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Віднесено вартість нестачі ПБА на винну матеріально-відповідальну особу (МВО)</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375</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716</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29.</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Нарахований ПДВ (податкове зобов’язання)</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716</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64</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30.</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Внесена готівкою вартість нестачі МВО</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30</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375</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31.</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Утримана із заробітної плати МВО вартість нестачі ПБА</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66</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375</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32.</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Списано ПБА, що загинули від стихійного лиха</w:t>
            </w:r>
          </w:p>
        </w:tc>
        <w:tc>
          <w:tcPr>
            <w:tcW w:w="1418"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977</w:t>
            </w:r>
          </w:p>
        </w:tc>
        <w:tc>
          <w:tcPr>
            <w:tcW w:w="1411" w:type="dxa"/>
          </w:tcPr>
          <w:p w:rsidR="00A609CD" w:rsidRDefault="00A609CD" w:rsidP="009A780A">
            <w:pPr>
              <w:pStyle w:val="a3"/>
              <w:ind w:left="0" w:right="22"/>
              <w:jc w:val="center"/>
              <w:rPr>
                <w:rFonts w:ascii="Times New Roman" w:hAnsi="Times New Roman"/>
                <w:sz w:val="28"/>
                <w:szCs w:val="28"/>
              </w:rPr>
            </w:pPr>
          </w:p>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r w:rsidR="00A609CD" w:rsidTr="009A780A">
        <w:tc>
          <w:tcPr>
            <w:tcW w:w="590"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33.</w:t>
            </w:r>
          </w:p>
        </w:tc>
        <w:tc>
          <w:tcPr>
            <w:tcW w:w="5953" w:type="dxa"/>
          </w:tcPr>
          <w:p w:rsidR="00A609CD" w:rsidRDefault="00A609CD" w:rsidP="009A780A">
            <w:pPr>
              <w:pStyle w:val="a3"/>
              <w:ind w:left="0" w:right="22"/>
              <w:rPr>
                <w:rFonts w:ascii="Times New Roman" w:hAnsi="Times New Roman"/>
                <w:sz w:val="28"/>
                <w:szCs w:val="28"/>
              </w:rPr>
            </w:pPr>
            <w:r>
              <w:rPr>
                <w:rFonts w:ascii="Times New Roman" w:hAnsi="Times New Roman"/>
                <w:sz w:val="28"/>
                <w:szCs w:val="28"/>
              </w:rPr>
              <w:t>Передано ПБА безкоштовно</w:t>
            </w:r>
          </w:p>
        </w:tc>
        <w:tc>
          <w:tcPr>
            <w:tcW w:w="1418"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949</w:t>
            </w:r>
          </w:p>
        </w:tc>
        <w:tc>
          <w:tcPr>
            <w:tcW w:w="1411" w:type="dxa"/>
          </w:tcPr>
          <w:p w:rsidR="00A609CD" w:rsidRDefault="00A609CD" w:rsidP="009A780A">
            <w:pPr>
              <w:pStyle w:val="a3"/>
              <w:ind w:left="0" w:right="22"/>
              <w:jc w:val="center"/>
              <w:rPr>
                <w:rFonts w:ascii="Times New Roman" w:hAnsi="Times New Roman"/>
                <w:sz w:val="28"/>
                <w:szCs w:val="28"/>
              </w:rPr>
            </w:pPr>
            <w:r>
              <w:rPr>
                <w:rFonts w:ascii="Times New Roman" w:hAnsi="Times New Roman"/>
                <w:sz w:val="28"/>
                <w:szCs w:val="28"/>
              </w:rPr>
              <w:t>21</w:t>
            </w:r>
          </w:p>
        </w:tc>
      </w:tr>
    </w:tbl>
    <w:p w:rsidR="00A609CD" w:rsidRPr="002C04EB" w:rsidRDefault="00A609CD" w:rsidP="00A609CD">
      <w:pPr>
        <w:pStyle w:val="a3"/>
        <w:shd w:val="clear" w:color="auto" w:fill="FFFFFF"/>
        <w:spacing w:after="0" w:line="240" w:lineRule="auto"/>
        <w:ind w:left="-142" w:right="22" w:firstLine="993"/>
        <w:jc w:val="center"/>
        <w:rPr>
          <w:rFonts w:ascii="Times New Roman" w:hAnsi="Times New Roman"/>
          <w:sz w:val="28"/>
          <w:szCs w:val="28"/>
        </w:rPr>
      </w:pPr>
    </w:p>
    <w:p w:rsidR="00A609CD" w:rsidRDefault="00A609CD" w:rsidP="00A609CD">
      <w:pPr>
        <w:spacing w:after="0" w:line="240" w:lineRule="auto"/>
        <w:ind w:firstLine="851"/>
        <w:jc w:val="both"/>
        <w:rPr>
          <w:rFonts w:ascii="Times New Roman" w:hAnsi="Times New Roman"/>
          <w:sz w:val="28"/>
          <w:szCs w:val="28"/>
        </w:rPr>
      </w:pPr>
      <w:r w:rsidRPr="00111369">
        <w:rPr>
          <w:rFonts w:ascii="Times New Roman" w:hAnsi="Times New Roman"/>
          <w:sz w:val="28"/>
          <w:szCs w:val="28"/>
        </w:rPr>
        <w:t>Аналітичний облік по рахунку 21</w:t>
      </w:r>
      <w:r>
        <w:rPr>
          <w:rFonts w:ascii="Times New Roman" w:hAnsi="Times New Roman"/>
          <w:sz w:val="28"/>
          <w:szCs w:val="28"/>
        </w:rPr>
        <w:t xml:space="preserve"> ведуть у відомості аналітичного обліку ф. 8.2 с.-г. Інформацію у відомість ф. 8.2 с.-г. переносять із звітів про рух тварин і птиці на фермі. Аналітичні рахунки відкривають по статево-віковим групам тварин (бички на випоюванні, бички на дорощуванні і т. ін.). Для кожної статево-вікової групи відводиться один рядок, де вказують залишок на початок місяця, надходження та вибуття тварин, залишок на кінець місяця (гол., кг.). Потім показники оцінюють. </w:t>
      </w:r>
    </w:p>
    <w:p w:rsidR="00A609CD" w:rsidRDefault="00A609CD" w:rsidP="00A609CD">
      <w:pPr>
        <w:spacing w:after="0" w:line="240" w:lineRule="auto"/>
        <w:ind w:firstLine="851"/>
        <w:jc w:val="both"/>
        <w:rPr>
          <w:rFonts w:ascii="Times New Roman" w:hAnsi="Times New Roman"/>
          <w:sz w:val="28"/>
          <w:szCs w:val="28"/>
        </w:rPr>
      </w:pPr>
      <w:r>
        <w:rPr>
          <w:rFonts w:ascii="Times New Roman" w:hAnsi="Times New Roman"/>
          <w:sz w:val="28"/>
          <w:szCs w:val="28"/>
        </w:rPr>
        <w:t>Кредитовий оборот з відомості 8.2 с.-г. переносять у журнал-ордер № 8 с.-г., де й ведеться синтетичний облік по рахунку 21.</w:t>
      </w:r>
    </w:p>
    <w:p w:rsidR="00CD007C" w:rsidRDefault="00CD007C"/>
    <w:sectPr w:rsidR="00CD007C" w:rsidSect="00CD00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304B"/>
    <w:multiLevelType w:val="hybridMultilevel"/>
    <w:tmpl w:val="5360ED50"/>
    <w:lvl w:ilvl="0" w:tplc="01E407BE">
      <w:start w:val="12"/>
      <w:numFmt w:val="decimal"/>
      <w:lvlText w:val="%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rsids>
    <w:rsidRoot w:val="00A609CD"/>
    <w:rsid w:val="00A32B6D"/>
    <w:rsid w:val="00A609CD"/>
    <w:rsid w:val="00CD007C"/>
    <w:rsid w:val="00D47E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9CD"/>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09CD"/>
    <w:pPr>
      <w:ind w:left="720"/>
      <w:contextualSpacing/>
    </w:pPr>
  </w:style>
  <w:style w:type="table" w:styleId="a4">
    <w:name w:val="Table Grid"/>
    <w:basedOn w:val="a1"/>
    <w:uiPriority w:val="39"/>
    <w:rsid w:val="00A60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504</Words>
  <Characters>2874</Characters>
  <Application>Microsoft Office Word</Application>
  <DocSecurity>0</DocSecurity>
  <Lines>23</Lines>
  <Paragraphs>6</Paragraphs>
  <ScaleCrop>false</ScaleCrop>
  <Company/>
  <LinksUpToDate>false</LinksUpToDate>
  <CharactersWithSpaces>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Anzhela</dc:creator>
  <cp:lastModifiedBy>Anzhela</cp:lastModifiedBy>
  <cp:revision>1</cp:revision>
  <dcterms:created xsi:type="dcterms:W3CDTF">2026-05-19T07:16:00Z</dcterms:created>
  <dcterms:modified xsi:type="dcterms:W3CDTF">2026-05-19T07:17:00Z</dcterms:modified>
</cp:coreProperties>
</file>