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E38" w:rsidRPr="008B2E38" w:rsidRDefault="008B2E38" w:rsidP="00100186">
      <w:pPr>
        <w:shd w:val="clear" w:color="auto" w:fill="F7F7F7"/>
        <w:spacing w:after="100" w:afterAutospacing="1" w:line="240" w:lineRule="auto"/>
        <w:ind w:left="-142" w:firstLine="142"/>
        <w:rPr>
          <w:rFonts w:ascii="Arial" w:eastAsia="Times New Roman" w:hAnsi="Arial" w:cs="Arial"/>
          <w:b/>
          <w:color w:val="000000"/>
          <w:sz w:val="24"/>
          <w:szCs w:val="24"/>
          <w:lang w:eastAsia="uk-UA"/>
        </w:rPr>
      </w:pPr>
      <w:r>
        <w:rPr>
          <w:rFonts w:ascii="Arial" w:eastAsia="Times New Roman" w:hAnsi="Arial" w:cs="Arial"/>
          <w:b/>
          <w:color w:val="000000"/>
          <w:sz w:val="24"/>
          <w:szCs w:val="24"/>
          <w:lang w:eastAsia="uk-UA"/>
        </w:rPr>
        <w:t xml:space="preserve">ТЕМА: </w:t>
      </w:r>
      <w:r w:rsidRPr="008B2E38">
        <w:rPr>
          <w:rFonts w:ascii="Arial" w:eastAsia="Times New Roman" w:hAnsi="Arial" w:cs="Arial"/>
          <w:b/>
          <w:color w:val="000000"/>
          <w:sz w:val="24"/>
          <w:szCs w:val="24"/>
          <w:lang w:eastAsia="uk-UA"/>
        </w:rPr>
        <w:t>КОНТРОЛЬ ВМІСТУ НІТРАТІВ В ОВОЧАХ, ФРУКТАХ ТА ІНШИХ ХАРЧОВИХ ПРОДУКТАХ</w:t>
      </w:r>
    </w:p>
    <w:p w:rsid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Контроль вмісту нітратів в харчових продуктах є важливим елементом забезпечення їхньої якості. Здійснюється він за двома напрямками:</w:t>
      </w:r>
    </w:p>
    <w:p w:rsidR="008B2E38" w:rsidRPr="008B2E38" w:rsidRDefault="008B2E38" w:rsidP="008B2E38">
      <w:pPr>
        <w:numPr>
          <w:ilvl w:val="0"/>
          <w:numId w:val="1"/>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Контроль якості продукції виробником.</w:t>
      </w:r>
    </w:p>
    <w:p w:rsidR="008B2E38" w:rsidRPr="008B2E38" w:rsidRDefault="008B2E38" w:rsidP="008B2E38">
      <w:pPr>
        <w:numPr>
          <w:ilvl w:val="0"/>
          <w:numId w:val="1"/>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Державний нагляд за якістю харчових продуктів.</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Державний санітарний нагляд за відповідністю продуктів встановленим санітарним нормам здійснює центральний орган виконавчої влади, який забезпечує реалізацію державної політики у сфері безпеки харчових продуктів. Контролюється вміст азотовмісних сполук:</w:t>
      </w:r>
    </w:p>
    <w:p w:rsidR="008B2E38" w:rsidRPr="008B2E38" w:rsidRDefault="008B2E38" w:rsidP="008B2E38">
      <w:pPr>
        <w:numPr>
          <w:ilvl w:val="0"/>
          <w:numId w:val="2"/>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нітратів – в плодово-овочевій продукції;</w:t>
      </w:r>
    </w:p>
    <w:p w:rsidR="008B2E38" w:rsidRPr="008B2E38" w:rsidRDefault="008B2E38" w:rsidP="008B2E38">
      <w:pPr>
        <w:numPr>
          <w:ilvl w:val="0"/>
          <w:numId w:val="2"/>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N-</w:t>
      </w:r>
      <w:proofErr w:type="spellStart"/>
      <w:r w:rsidRPr="008B2E38">
        <w:rPr>
          <w:rFonts w:ascii="Arial" w:eastAsia="Times New Roman" w:hAnsi="Arial" w:cs="Arial"/>
          <w:color w:val="000000"/>
          <w:sz w:val="24"/>
          <w:szCs w:val="24"/>
          <w:lang w:eastAsia="uk-UA"/>
        </w:rPr>
        <w:t>нітрозамінів</w:t>
      </w:r>
      <w:proofErr w:type="spellEnd"/>
      <w:r w:rsidRPr="008B2E38">
        <w:rPr>
          <w:rFonts w:ascii="Arial" w:eastAsia="Times New Roman" w:hAnsi="Arial" w:cs="Arial"/>
          <w:color w:val="000000"/>
          <w:sz w:val="24"/>
          <w:szCs w:val="24"/>
          <w:lang w:eastAsia="uk-UA"/>
        </w:rPr>
        <w:t xml:space="preserve"> – у рибі й морепродуктах, м'ясних продуктах і пивному солоді.</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Однак періодичність контролю на законодавчому рівні не встановлена.</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РЕКОМЕНДОВАНА ПЕРІОДИЧНІСТЬ КОНТРОЛЮ</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З огляду на те, що 70–90% добової кількості нітратів надходить в організм людини з овочами, особливу увагу слід звертати на ті види овочів, які дають найбільше нітратне навантаження (картопля, баштанні). Рекомендована періодичність контролю цих продуктів становить один раз на десять днів, періодичність контролю фруктів і ягід, молока і молочних продуктів – один раз на місяць. Особливо важливим є контроль за вмістом нітратів в продукції, призначеній для дитячого і дієтичного харчування, періодичність контролю яких становить також один раз на 10 днів.</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ДОПУСТИМІ РІВНІ НІТРАТІВ В ОВОЧАХ: ЗАКОНОДАВЧЕ РЕГУЛЮВАННЯ</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Лабораторіями харчової токсикології Науково-дослідного інституту МОЗ України затверджені гранично допустимі рівні нітратів в плодово-овочевій продукції (ДЕРЖАВНІ ГІГІЄНІЧНІ ПРАВИЛА І НОРМИ «Регламент максимальних рівнів окремих забруднюючих речовин у харчових продуктах», наказ №368 від 13.05.2013).</w:t>
      </w:r>
    </w:p>
    <w:tbl>
      <w:tblPr>
        <w:tblW w:w="12375" w:type="dxa"/>
        <w:shd w:val="clear" w:color="auto" w:fill="F5F5F5"/>
        <w:tblCellMar>
          <w:top w:w="15" w:type="dxa"/>
          <w:left w:w="15" w:type="dxa"/>
          <w:bottom w:w="15" w:type="dxa"/>
          <w:right w:w="15" w:type="dxa"/>
        </w:tblCellMar>
        <w:tblLook w:val="04A0" w:firstRow="1" w:lastRow="0" w:firstColumn="1" w:lastColumn="0" w:noHBand="0" w:noVBand="1"/>
      </w:tblPr>
      <w:tblGrid>
        <w:gridCol w:w="8129"/>
        <w:gridCol w:w="1697"/>
        <w:gridCol w:w="2549"/>
      </w:tblGrid>
      <w:tr w:rsidR="008B2E38" w:rsidRPr="008B2E38" w:rsidTr="008B2E38">
        <w:tc>
          <w:tcPr>
            <w:tcW w:w="0" w:type="auto"/>
            <w:vMerge w:val="restart"/>
            <w:tcBorders>
              <w:top w:val="single" w:sz="6" w:space="0" w:color="FFFFFF"/>
              <w:left w:val="single" w:sz="6" w:space="0" w:color="FFFFFF"/>
              <w:bottom w:val="single" w:sz="6" w:space="0" w:color="FFFFFF"/>
              <w:right w:val="single" w:sz="6" w:space="0" w:color="FFFFFF"/>
            </w:tcBorders>
            <w:shd w:val="clear" w:color="auto" w:fill="F7D723"/>
            <w:tcMar>
              <w:top w:w="240" w:type="dxa"/>
              <w:left w:w="45" w:type="dxa"/>
              <w:bottom w:w="240" w:type="dxa"/>
              <w:right w:w="45" w:type="dxa"/>
            </w:tcMar>
            <w:vAlign w:val="center"/>
            <w:hideMark/>
          </w:tcPr>
          <w:p w:rsidR="008B2E38" w:rsidRPr="008B2E38" w:rsidRDefault="008B2E38" w:rsidP="008B2E38">
            <w:pPr>
              <w:spacing w:after="240" w:line="276" w:lineRule="atLeast"/>
              <w:rPr>
                <w:rFonts w:ascii="Arial" w:eastAsia="Times New Roman" w:hAnsi="Arial" w:cs="Arial"/>
                <w:color w:val="000000"/>
                <w:sz w:val="20"/>
                <w:szCs w:val="20"/>
                <w:lang w:eastAsia="uk-UA"/>
              </w:rPr>
            </w:pPr>
            <w:r w:rsidRPr="008B2E38">
              <w:rPr>
                <w:rFonts w:ascii="Arial" w:eastAsia="Times New Roman" w:hAnsi="Arial" w:cs="Arial"/>
                <w:b/>
                <w:bCs/>
                <w:color w:val="000000"/>
                <w:sz w:val="20"/>
                <w:szCs w:val="20"/>
                <w:lang w:eastAsia="uk-UA"/>
              </w:rPr>
              <w:t>Продукт</w:t>
            </w:r>
          </w:p>
        </w:tc>
        <w:tc>
          <w:tcPr>
            <w:tcW w:w="0" w:type="auto"/>
            <w:gridSpan w:val="2"/>
            <w:tcBorders>
              <w:top w:val="single" w:sz="6" w:space="0" w:color="FFFFFF"/>
              <w:left w:val="single" w:sz="6" w:space="0" w:color="FFFFFF"/>
              <w:bottom w:val="single" w:sz="6" w:space="0" w:color="FFFFFF"/>
              <w:right w:val="single" w:sz="6" w:space="0" w:color="FFFFFF"/>
            </w:tcBorders>
            <w:shd w:val="clear" w:color="auto" w:fill="F7D723"/>
            <w:tcMar>
              <w:top w:w="240" w:type="dxa"/>
              <w:left w:w="45" w:type="dxa"/>
              <w:bottom w:w="240" w:type="dxa"/>
              <w:right w:w="45" w:type="dxa"/>
            </w:tcMar>
            <w:vAlign w:val="center"/>
            <w:hideMark/>
          </w:tcPr>
          <w:p w:rsidR="008B2E38" w:rsidRPr="008B2E38" w:rsidRDefault="008B2E38" w:rsidP="008B2E38">
            <w:pPr>
              <w:spacing w:after="240" w:line="276" w:lineRule="atLeast"/>
              <w:rPr>
                <w:rFonts w:ascii="Arial" w:eastAsia="Times New Roman" w:hAnsi="Arial" w:cs="Arial"/>
                <w:color w:val="000000"/>
                <w:sz w:val="20"/>
                <w:szCs w:val="20"/>
                <w:lang w:eastAsia="uk-UA"/>
              </w:rPr>
            </w:pPr>
            <w:r w:rsidRPr="008B2E38">
              <w:rPr>
                <w:rFonts w:ascii="Arial" w:eastAsia="Times New Roman" w:hAnsi="Arial" w:cs="Arial"/>
                <w:b/>
                <w:bCs/>
                <w:color w:val="000000"/>
                <w:sz w:val="20"/>
                <w:szCs w:val="20"/>
                <w:lang w:eastAsia="uk-UA"/>
              </w:rPr>
              <w:t>Вміст, мг/кг</w:t>
            </w:r>
          </w:p>
        </w:tc>
      </w:tr>
      <w:tr w:rsidR="008B2E38" w:rsidRPr="008B2E38" w:rsidTr="00100186">
        <w:tc>
          <w:tcPr>
            <w:tcW w:w="0" w:type="auto"/>
            <w:vMerge/>
            <w:tcBorders>
              <w:top w:val="single" w:sz="6" w:space="0" w:color="FFFFFF"/>
              <w:left w:val="single" w:sz="6" w:space="0" w:color="FFFFFF"/>
              <w:bottom w:val="single" w:sz="6" w:space="0" w:color="FFFFFF"/>
              <w:right w:val="single" w:sz="6" w:space="0" w:color="FFFFFF"/>
            </w:tcBorders>
            <w:shd w:val="clear" w:color="auto" w:fill="F5F5F5"/>
            <w:vAlign w:val="center"/>
            <w:hideMark/>
          </w:tcPr>
          <w:p w:rsidR="008B2E38" w:rsidRPr="008B2E38" w:rsidRDefault="008B2E38" w:rsidP="008B2E38">
            <w:pPr>
              <w:spacing w:after="0" w:line="240" w:lineRule="auto"/>
              <w:rPr>
                <w:rFonts w:ascii="Arial" w:eastAsia="Times New Roman" w:hAnsi="Arial" w:cs="Arial"/>
                <w:color w:val="000000"/>
                <w:sz w:val="20"/>
                <w:szCs w:val="20"/>
                <w:lang w:eastAsia="uk-UA"/>
              </w:rPr>
            </w:pPr>
          </w:p>
        </w:tc>
        <w:tc>
          <w:tcPr>
            <w:tcW w:w="1697" w:type="dxa"/>
            <w:tcBorders>
              <w:top w:val="single" w:sz="6" w:space="0" w:color="FFFFFF"/>
              <w:left w:val="single" w:sz="6" w:space="0" w:color="FFFFFF"/>
              <w:bottom w:val="single" w:sz="6" w:space="0" w:color="FFFFFF"/>
              <w:right w:val="single" w:sz="6" w:space="0" w:color="FFFFFF"/>
            </w:tcBorders>
            <w:shd w:val="clear" w:color="auto" w:fill="F7D723"/>
            <w:tcMar>
              <w:top w:w="240" w:type="dxa"/>
              <w:left w:w="45" w:type="dxa"/>
              <w:bottom w:w="240" w:type="dxa"/>
              <w:right w:w="45" w:type="dxa"/>
            </w:tcMar>
            <w:vAlign w:val="center"/>
            <w:hideMark/>
          </w:tcPr>
          <w:p w:rsidR="008B2E38" w:rsidRPr="008B2E38" w:rsidRDefault="008B2E38" w:rsidP="008B2E38">
            <w:pPr>
              <w:spacing w:after="240" w:line="276" w:lineRule="atLeast"/>
              <w:rPr>
                <w:rFonts w:ascii="Arial" w:eastAsia="Times New Roman" w:hAnsi="Arial" w:cs="Arial"/>
                <w:color w:val="000000"/>
                <w:sz w:val="20"/>
                <w:szCs w:val="20"/>
                <w:lang w:eastAsia="uk-UA"/>
              </w:rPr>
            </w:pPr>
            <w:r w:rsidRPr="008B2E38">
              <w:rPr>
                <w:rFonts w:ascii="Arial" w:eastAsia="Times New Roman" w:hAnsi="Arial" w:cs="Arial"/>
                <w:color w:val="000000"/>
                <w:sz w:val="20"/>
                <w:szCs w:val="20"/>
                <w:lang w:eastAsia="uk-UA"/>
              </w:rPr>
              <w:t>У відкритому ґрунті</w:t>
            </w:r>
          </w:p>
        </w:tc>
        <w:tc>
          <w:tcPr>
            <w:tcW w:w="2549" w:type="dxa"/>
            <w:tcBorders>
              <w:top w:val="single" w:sz="6" w:space="0" w:color="FFFFFF"/>
              <w:left w:val="single" w:sz="6" w:space="0" w:color="FFFFFF"/>
              <w:bottom w:val="single" w:sz="6" w:space="0" w:color="FFFFFF"/>
              <w:right w:val="single" w:sz="6" w:space="0" w:color="FFFFFF"/>
            </w:tcBorders>
            <w:shd w:val="clear" w:color="auto" w:fill="F7D723"/>
            <w:tcMar>
              <w:top w:w="240" w:type="dxa"/>
              <w:left w:w="45" w:type="dxa"/>
              <w:bottom w:w="240" w:type="dxa"/>
              <w:right w:w="45" w:type="dxa"/>
            </w:tcMar>
            <w:vAlign w:val="center"/>
            <w:hideMark/>
          </w:tcPr>
          <w:p w:rsidR="008B2E38" w:rsidRPr="008B2E38" w:rsidRDefault="008B2E38" w:rsidP="008B2E38">
            <w:pPr>
              <w:spacing w:after="240" w:line="276" w:lineRule="atLeast"/>
              <w:rPr>
                <w:rFonts w:ascii="Arial" w:eastAsia="Times New Roman" w:hAnsi="Arial" w:cs="Arial"/>
                <w:color w:val="000000"/>
                <w:sz w:val="20"/>
                <w:szCs w:val="20"/>
                <w:lang w:eastAsia="uk-UA"/>
              </w:rPr>
            </w:pPr>
            <w:r w:rsidRPr="008B2E38">
              <w:rPr>
                <w:rFonts w:ascii="Arial" w:eastAsia="Times New Roman" w:hAnsi="Arial" w:cs="Arial"/>
                <w:color w:val="000000"/>
                <w:sz w:val="20"/>
                <w:szCs w:val="20"/>
                <w:lang w:eastAsia="uk-UA"/>
              </w:rPr>
              <w:t>У закритому ґрунті</w:t>
            </w: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24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Картопля</w:t>
            </w:r>
          </w:p>
          <w:p w:rsidR="008B2E38" w:rsidRPr="008B2E38" w:rsidRDefault="008B2E38" w:rsidP="008B2E38">
            <w:pPr>
              <w:numPr>
                <w:ilvl w:val="0"/>
                <w:numId w:val="3"/>
              </w:numPr>
              <w:spacing w:before="100" w:beforeAutospacing="1" w:after="100" w:afterAutospacing="1" w:line="276" w:lineRule="atLeast"/>
              <w:ind w:left="0"/>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рання</w:t>
            </w:r>
          </w:p>
          <w:p w:rsidR="008B2E38" w:rsidRPr="008B2E38" w:rsidRDefault="008B2E38" w:rsidP="008B2E38">
            <w:pPr>
              <w:numPr>
                <w:ilvl w:val="0"/>
                <w:numId w:val="3"/>
              </w:numPr>
              <w:spacing w:before="100" w:beforeAutospacing="1" w:after="100" w:afterAutospacing="1" w:line="276" w:lineRule="atLeast"/>
              <w:ind w:left="0"/>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пізня</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240</w:t>
            </w:r>
            <w:r w:rsidRPr="008B2E38">
              <w:rPr>
                <w:rFonts w:ascii="Arial" w:eastAsia="Times New Roman" w:hAnsi="Arial" w:cs="Arial"/>
                <w:color w:val="000000"/>
                <w:sz w:val="19"/>
                <w:szCs w:val="19"/>
                <w:lang w:eastAsia="uk-UA"/>
              </w:rPr>
              <w:br/>
              <w:t>120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Капуста білокачанна</w:t>
            </w:r>
          </w:p>
          <w:p w:rsidR="008B2E38" w:rsidRPr="008B2E38" w:rsidRDefault="008B2E38" w:rsidP="008B2E38">
            <w:pPr>
              <w:numPr>
                <w:ilvl w:val="0"/>
                <w:numId w:val="4"/>
              </w:numPr>
              <w:spacing w:before="100" w:beforeAutospacing="1" w:after="100" w:afterAutospacing="1" w:line="276" w:lineRule="atLeast"/>
              <w:ind w:left="0"/>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lastRenderedPageBreak/>
              <w:t>рання</w:t>
            </w:r>
          </w:p>
          <w:p w:rsidR="008B2E38" w:rsidRPr="008B2E38" w:rsidRDefault="008B2E38" w:rsidP="008B2E38">
            <w:pPr>
              <w:numPr>
                <w:ilvl w:val="0"/>
                <w:numId w:val="4"/>
              </w:numPr>
              <w:spacing w:before="100" w:beforeAutospacing="1" w:after="100" w:afterAutospacing="1" w:line="276" w:lineRule="atLeast"/>
              <w:ind w:left="0"/>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пізня</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lastRenderedPageBreak/>
              <w:t>800</w:t>
            </w:r>
            <w:r w:rsidRPr="008B2E38">
              <w:rPr>
                <w:rFonts w:ascii="Arial" w:eastAsia="Times New Roman" w:hAnsi="Arial" w:cs="Arial"/>
                <w:color w:val="000000"/>
                <w:sz w:val="19"/>
                <w:szCs w:val="19"/>
                <w:lang w:eastAsia="uk-UA"/>
              </w:rPr>
              <w:br/>
            </w:r>
            <w:r w:rsidRPr="008B2E38">
              <w:rPr>
                <w:rFonts w:ascii="Arial" w:eastAsia="Times New Roman" w:hAnsi="Arial" w:cs="Arial"/>
                <w:color w:val="000000"/>
                <w:sz w:val="19"/>
                <w:szCs w:val="19"/>
                <w:lang w:eastAsia="uk-UA"/>
              </w:rPr>
              <w:lastRenderedPageBreak/>
              <w:t>400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lastRenderedPageBreak/>
              <w:t>Морква</w:t>
            </w:r>
          </w:p>
          <w:p w:rsidR="008B2E38" w:rsidRPr="008B2E38" w:rsidRDefault="008B2E38" w:rsidP="008B2E38">
            <w:pPr>
              <w:numPr>
                <w:ilvl w:val="0"/>
                <w:numId w:val="5"/>
              </w:numPr>
              <w:spacing w:before="100" w:beforeAutospacing="1" w:after="100" w:afterAutospacing="1" w:line="276" w:lineRule="atLeast"/>
              <w:ind w:left="0"/>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рання</w:t>
            </w:r>
          </w:p>
          <w:p w:rsidR="008B2E38" w:rsidRPr="008B2E38" w:rsidRDefault="008B2E38" w:rsidP="008B2E38">
            <w:pPr>
              <w:numPr>
                <w:ilvl w:val="0"/>
                <w:numId w:val="5"/>
              </w:numPr>
              <w:spacing w:before="100" w:beforeAutospacing="1" w:after="100" w:afterAutospacing="1" w:line="276" w:lineRule="atLeast"/>
              <w:ind w:left="0"/>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пізня</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600</w:t>
            </w:r>
            <w:r w:rsidRPr="008B2E38">
              <w:rPr>
                <w:rFonts w:ascii="Arial" w:eastAsia="Times New Roman" w:hAnsi="Arial" w:cs="Arial"/>
                <w:color w:val="000000"/>
                <w:sz w:val="19"/>
                <w:szCs w:val="19"/>
                <w:lang w:eastAsia="uk-UA"/>
              </w:rPr>
              <w:br/>
              <w:t>300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Томати</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100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200</w:t>
            </w: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Огірки</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200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400</w:t>
            </w: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Буряк столовий</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1400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Цибуля ріпчаста</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90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Цибуля-перо</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400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800</w:t>
            </w: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Зелені овочеві культури (салат, шпинат, щавель, петрушка, селера, кінза, кріп)</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1500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3000</w:t>
            </w: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Перець солодкий</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200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Кабачки</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400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Кавуни</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60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Дині</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90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Гарбузи</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60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Виноград, яблука, груші</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60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p>
        </w:tc>
      </w:tr>
      <w:tr w:rsidR="008B2E38" w:rsidRPr="008B2E38" w:rsidTr="00100186">
        <w:tc>
          <w:tcPr>
            <w:tcW w:w="0" w:type="auto"/>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Продукти дитячого харчування</w:t>
            </w:r>
          </w:p>
          <w:p w:rsidR="008B2E38" w:rsidRPr="008B2E38" w:rsidRDefault="008B2E38" w:rsidP="008B2E38">
            <w:pPr>
              <w:numPr>
                <w:ilvl w:val="0"/>
                <w:numId w:val="6"/>
              </w:numPr>
              <w:spacing w:before="100" w:beforeAutospacing="1" w:after="100" w:afterAutospacing="1" w:line="276" w:lineRule="atLeast"/>
              <w:ind w:left="0"/>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консерви на фруктовій основі</w:t>
            </w:r>
          </w:p>
          <w:p w:rsidR="008B2E38" w:rsidRPr="008B2E38" w:rsidRDefault="008B2E38" w:rsidP="008B2E38">
            <w:pPr>
              <w:numPr>
                <w:ilvl w:val="0"/>
                <w:numId w:val="6"/>
              </w:numPr>
              <w:spacing w:before="100" w:beforeAutospacing="1" w:after="100" w:afterAutospacing="1" w:line="276" w:lineRule="atLeast"/>
              <w:ind w:left="0"/>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консерви на овочевій основі</w:t>
            </w:r>
          </w:p>
        </w:tc>
        <w:tc>
          <w:tcPr>
            <w:tcW w:w="1697"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r w:rsidRPr="008B2E38">
              <w:rPr>
                <w:rFonts w:ascii="Arial" w:eastAsia="Times New Roman" w:hAnsi="Arial" w:cs="Arial"/>
                <w:color w:val="000000"/>
                <w:sz w:val="19"/>
                <w:szCs w:val="19"/>
                <w:lang w:eastAsia="uk-UA"/>
              </w:rPr>
              <w:t>50</w:t>
            </w:r>
            <w:r w:rsidRPr="008B2E38">
              <w:rPr>
                <w:rFonts w:ascii="Arial" w:eastAsia="Times New Roman" w:hAnsi="Arial" w:cs="Arial"/>
                <w:color w:val="000000"/>
                <w:sz w:val="19"/>
                <w:szCs w:val="19"/>
                <w:lang w:eastAsia="uk-UA"/>
              </w:rPr>
              <w:br/>
              <w:t>100</w:t>
            </w:r>
          </w:p>
        </w:tc>
        <w:tc>
          <w:tcPr>
            <w:tcW w:w="2549" w:type="dxa"/>
            <w:tcBorders>
              <w:top w:val="single" w:sz="6" w:space="0" w:color="FFFFFF"/>
              <w:left w:val="single" w:sz="6" w:space="0" w:color="FFFFFF"/>
              <w:bottom w:val="single" w:sz="6" w:space="0" w:color="FFFFFF"/>
              <w:right w:val="single" w:sz="6" w:space="0" w:color="FFFFFF"/>
            </w:tcBorders>
            <w:shd w:val="clear" w:color="auto" w:fill="F5F5F5"/>
            <w:tcMar>
              <w:top w:w="240" w:type="dxa"/>
              <w:left w:w="45" w:type="dxa"/>
              <w:bottom w:w="240" w:type="dxa"/>
              <w:right w:w="45" w:type="dxa"/>
            </w:tcMar>
            <w:vAlign w:val="center"/>
            <w:hideMark/>
          </w:tcPr>
          <w:p w:rsidR="008B2E38" w:rsidRPr="008B2E38" w:rsidRDefault="008B2E38" w:rsidP="008B2E38">
            <w:pPr>
              <w:spacing w:after="0" w:line="276" w:lineRule="atLeast"/>
              <w:rPr>
                <w:rFonts w:ascii="Arial" w:eastAsia="Times New Roman" w:hAnsi="Arial" w:cs="Arial"/>
                <w:color w:val="000000"/>
                <w:sz w:val="19"/>
                <w:szCs w:val="19"/>
                <w:lang w:eastAsia="uk-UA"/>
              </w:rPr>
            </w:pPr>
          </w:p>
        </w:tc>
      </w:tr>
    </w:tbl>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Для визначення нітратів і нітритів розроблений цілий ряд методик</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lastRenderedPageBreak/>
        <w:t xml:space="preserve">Визначати </w:t>
      </w:r>
      <w:proofErr w:type="spellStart"/>
      <w:r w:rsidRPr="008B2E38">
        <w:rPr>
          <w:rFonts w:ascii="Arial" w:eastAsia="Times New Roman" w:hAnsi="Arial" w:cs="Arial"/>
          <w:color w:val="000000"/>
          <w:sz w:val="24"/>
          <w:szCs w:val="24"/>
          <w:lang w:eastAsia="uk-UA"/>
        </w:rPr>
        <w:t>нітрозаміни</w:t>
      </w:r>
      <w:proofErr w:type="spellEnd"/>
      <w:r w:rsidRPr="008B2E38">
        <w:rPr>
          <w:rFonts w:ascii="Arial" w:eastAsia="Times New Roman" w:hAnsi="Arial" w:cs="Arial"/>
          <w:color w:val="000000"/>
          <w:sz w:val="24"/>
          <w:szCs w:val="24"/>
          <w:lang w:eastAsia="uk-UA"/>
        </w:rPr>
        <w:t xml:space="preserve"> в продуктах харчування набагато складніше. Завдяки летючості </w:t>
      </w:r>
      <w:proofErr w:type="spellStart"/>
      <w:r w:rsidRPr="008B2E38">
        <w:rPr>
          <w:rFonts w:ascii="Arial" w:eastAsia="Times New Roman" w:hAnsi="Arial" w:cs="Arial"/>
          <w:color w:val="000000"/>
          <w:sz w:val="24"/>
          <w:szCs w:val="24"/>
          <w:lang w:eastAsia="uk-UA"/>
        </w:rPr>
        <w:t>нітрозамінів</w:t>
      </w:r>
      <w:proofErr w:type="spellEnd"/>
      <w:r w:rsidRPr="008B2E38">
        <w:rPr>
          <w:rFonts w:ascii="Arial" w:eastAsia="Times New Roman" w:hAnsi="Arial" w:cs="Arial"/>
          <w:color w:val="000000"/>
          <w:sz w:val="24"/>
          <w:szCs w:val="24"/>
          <w:lang w:eastAsia="uk-UA"/>
        </w:rPr>
        <w:t>, як правило, для цих цілей використовують газову хроматографію з флуоресцентним детектором.</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Фотометричний метод визначення нітритів і нітратів в овочах</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Фотометричний метод визначення нітратів і нітритів поширюється практично на всі продукти: всі види свіжої і кулінарно-переробленої рослинної продукції; на плодоовочеві консерви, включаючи консерви для дитячого харчування, у рецептуру яких можуть входити, крім рослинної частини, також жири, м'ясо, молочні продукти; на всі види зерна і </w:t>
      </w:r>
      <w:proofErr w:type="spellStart"/>
      <w:r w:rsidRPr="008B2E38">
        <w:rPr>
          <w:rFonts w:ascii="Arial" w:eastAsia="Times New Roman" w:hAnsi="Arial" w:cs="Arial"/>
          <w:color w:val="000000"/>
          <w:sz w:val="24"/>
          <w:szCs w:val="24"/>
          <w:lang w:eastAsia="uk-UA"/>
        </w:rPr>
        <w:t>зернопродуктів</w:t>
      </w:r>
      <w:proofErr w:type="spellEnd"/>
      <w:r w:rsidRPr="008B2E38">
        <w:rPr>
          <w:rFonts w:ascii="Arial" w:eastAsia="Times New Roman" w:hAnsi="Arial" w:cs="Arial"/>
          <w:color w:val="000000"/>
          <w:sz w:val="24"/>
          <w:szCs w:val="24"/>
          <w:lang w:eastAsia="uk-UA"/>
        </w:rPr>
        <w:t>; на всі види молочних продуктів.</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Суть методу</w:t>
      </w:r>
      <w:r w:rsidRPr="008B2E38">
        <w:rPr>
          <w:rFonts w:ascii="Arial" w:eastAsia="Times New Roman" w:hAnsi="Arial" w:cs="Arial"/>
          <w:color w:val="000000"/>
          <w:sz w:val="24"/>
          <w:szCs w:val="24"/>
          <w:lang w:eastAsia="uk-UA"/>
        </w:rPr>
        <w:t> полягає в екстрагуванні їх водою, очищенні екстракту і фотометричному вимірюванні інтенсивності забарвлення азосполуки, що утворюється при взаємодії нітритів з ароматичними амінами.</w:t>
      </w:r>
    </w:p>
    <w:p w:rsidR="008B2E38" w:rsidRPr="008B2E38" w:rsidRDefault="008B2E38" w:rsidP="008B2E38">
      <w:pPr>
        <w:numPr>
          <w:ilvl w:val="0"/>
          <w:numId w:val="7"/>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Нижня межа визначення нітритів – 0,02 мг NO</w:t>
      </w:r>
      <w:r w:rsidRPr="008B2E38">
        <w:rPr>
          <w:rFonts w:ascii="Arial" w:eastAsia="Times New Roman" w:hAnsi="Arial" w:cs="Arial"/>
          <w:color w:val="000000"/>
          <w:sz w:val="18"/>
          <w:szCs w:val="18"/>
          <w:vertAlign w:val="subscript"/>
          <w:lang w:eastAsia="uk-UA"/>
        </w:rPr>
        <w:t>2</w:t>
      </w:r>
      <w:r w:rsidRPr="008B2E38">
        <w:rPr>
          <w:rFonts w:ascii="Arial" w:eastAsia="Times New Roman" w:hAnsi="Arial" w:cs="Arial"/>
          <w:color w:val="000000"/>
          <w:sz w:val="24"/>
          <w:szCs w:val="24"/>
          <w:lang w:eastAsia="uk-UA"/>
        </w:rPr>
        <w:t> в 1 см</w:t>
      </w:r>
      <w:r w:rsidRPr="008B2E38">
        <w:rPr>
          <w:rFonts w:ascii="Arial" w:eastAsia="Times New Roman" w:hAnsi="Arial" w:cs="Arial"/>
          <w:color w:val="000000"/>
          <w:sz w:val="18"/>
          <w:szCs w:val="18"/>
          <w:vertAlign w:val="superscript"/>
          <w:lang w:eastAsia="uk-UA"/>
        </w:rPr>
        <w:t>3 </w:t>
      </w:r>
      <w:r w:rsidRPr="008B2E38">
        <w:rPr>
          <w:rFonts w:ascii="Arial" w:eastAsia="Times New Roman" w:hAnsi="Arial" w:cs="Arial"/>
          <w:color w:val="000000"/>
          <w:sz w:val="24"/>
          <w:szCs w:val="24"/>
          <w:lang w:eastAsia="uk-UA"/>
        </w:rPr>
        <w:t>колориметрованого розчину</w:t>
      </w:r>
    </w:p>
    <w:p w:rsidR="008B2E38" w:rsidRPr="008B2E38" w:rsidRDefault="008B2E38" w:rsidP="008B2E38">
      <w:pPr>
        <w:numPr>
          <w:ilvl w:val="0"/>
          <w:numId w:val="7"/>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Нижня межа визначення нітритів в аналізованої пробі – 0,1 мг NO</w:t>
      </w:r>
      <w:r w:rsidRPr="008B2E38">
        <w:rPr>
          <w:rFonts w:ascii="Arial" w:eastAsia="Times New Roman" w:hAnsi="Arial" w:cs="Arial"/>
          <w:color w:val="000000"/>
          <w:sz w:val="18"/>
          <w:szCs w:val="18"/>
          <w:vertAlign w:val="subscript"/>
          <w:lang w:eastAsia="uk-UA"/>
        </w:rPr>
        <w:t>2</w:t>
      </w:r>
      <w:r w:rsidRPr="008B2E38">
        <w:rPr>
          <w:rFonts w:ascii="Arial" w:eastAsia="Times New Roman" w:hAnsi="Arial" w:cs="Arial"/>
          <w:color w:val="000000"/>
          <w:sz w:val="24"/>
          <w:szCs w:val="24"/>
          <w:lang w:eastAsia="uk-UA"/>
        </w:rPr>
        <w:t>/кг (для рідких продуктів) и 0,5 мг NO</w:t>
      </w:r>
      <w:r w:rsidRPr="008B2E38">
        <w:rPr>
          <w:rFonts w:ascii="Arial" w:eastAsia="Times New Roman" w:hAnsi="Arial" w:cs="Arial"/>
          <w:color w:val="000000"/>
          <w:sz w:val="18"/>
          <w:szCs w:val="18"/>
          <w:vertAlign w:val="subscript"/>
          <w:lang w:eastAsia="uk-UA"/>
        </w:rPr>
        <w:t>2</w:t>
      </w:r>
      <w:r w:rsidRPr="008B2E38">
        <w:rPr>
          <w:rFonts w:ascii="Arial" w:eastAsia="Times New Roman" w:hAnsi="Arial" w:cs="Arial"/>
          <w:color w:val="000000"/>
          <w:sz w:val="24"/>
          <w:szCs w:val="24"/>
          <w:lang w:eastAsia="uk-UA"/>
        </w:rPr>
        <w:t>/кг (для твердих продуктів)</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Суть методу</w:t>
      </w:r>
      <w:r w:rsidRPr="008B2E38">
        <w:rPr>
          <w:rFonts w:ascii="Arial" w:eastAsia="Times New Roman" w:hAnsi="Arial" w:cs="Arial"/>
          <w:color w:val="000000"/>
          <w:sz w:val="24"/>
          <w:szCs w:val="24"/>
          <w:lang w:eastAsia="uk-UA"/>
        </w:rPr>
        <w:t> полягає в екстрагуванні їх водою, очищенні екстракту, відновленні нітратів до нітритів на кадмієвій колонці з наступним фотометричним вимірюванням інтенсивності забарвлення азосполуки, що утворюється при взаємодії нітритів з ароматичними амінами.</w:t>
      </w:r>
    </w:p>
    <w:p w:rsidR="008B2E38" w:rsidRPr="008B2E38" w:rsidRDefault="008B2E38" w:rsidP="008B2E38">
      <w:pPr>
        <w:numPr>
          <w:ilvl w:val="0"/>
          <w:numId w:val="8"/>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Нижня межа визначення нітратів – 0,03 мг NO</w:t>
      </w:r>
      <w:r w:rsidRPr="008B2E38">
        <w:rPr>
          <w:rFonts w:ascii="Arial" w:eastAsia="Times New Roman" w:hAnsi="Arial" w:cs="Arial"/>
          <w:color w:val="000000"/>
          <w:sz w:val="18"/>
          <w:szCs w:val="18"/>
          <w:vertAlign w:val="subscript"/>
          <w:lang w:eastAsia="uk-UA"/>
        </w:rPr>
        <w:t>3 </w:t>
      </w:r>
      <w:r w:rsidRPr="008B2E38">
        <w:rPr>
          <w:rFonts w:ascii="Arial" w:eastAsia="Times New Roman" w:hAnsi="Arial" w:cs="Arial"/>
          <w:color w:val="000000"/>
          <w:sz w:val="24"/>
          <w:szCs w:val="24"/>
          <w:lang w:eastAsia="uk-UA"/>
        </w:rPr>
        <w:t>в 1 см</w:t>
      </w:r>
      <w:r w:rsidRPr="008B2E38">
        <w:rPr>
          <w:rFonts w:ascii="Arial" w:eastAsia="Times New Roman" w:hAnsi="Arial" w:cs="Arial"/>
          <w:color w:val="000000"/>
          <w:sz w:val="18"/>
          <w:szCs w:val="18"/>
          <w:vertAlign w:val="superscript"/>
          <w:lang w:eastAsia="uk-UA"/>
        </w:rPr>
        <w:t>3</w:t>
      </w:r>
      <w:r w:rsidRPr="008B2E38">
        <w:rPr>
          <w:rFonts w:ascii="Arial" w:eastAsia="Times New Roman" w:hAnsi="Arial" w:cs="Arial"/>
          <w:color w:val="000000"/>
          <w:sz w:val="24"/>
          <w:szCs w:val="24"/>
          <w:lang w:eastAsia="uk-UA"/>
        </w:rPr>
        <w:t> колориметрованого розчину</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ІОНОМЕТРИЧНИЙ МЕТОД ВИЗНАЧЕННЯ НІТРАТІВ У ОВОЧАХ І ФРУКТАХ</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Суть методу полягає в отриманні нітратів з аналізованого матеріалу розчином алюмокалієвих </w:t>
      </w:r>
      <w:proofErr w:type="spellStart"/>
      <w:r w:rsidRPr="008B2E38">
        <w:rPr>
          <w:rFonts w:ascii="Arial" w:eastAsia="Times New Roman" w:hAnsi="Arial" w:cs="Arial"/>
          <w:color w:val="000000"/>
          <w:sz w:val="24"/>
          <w:szCs w:val="24"/>
          <w:lang w:eastAsia="uk-UA"/>
        </w:rPr>
        <w:t>квасців</w:t>
      </w:r>
      <w:proofErr w:type="spellEnd"/>
      <w:r w:rsidRPr="008B2E38">
        <w:rPr>
          <w:rFonts w:ascii="Arial" w:eastAsia="Times New Roman" w:hAnsi="Arial" w:cs="Arial"/>
          <w:color w:val="000000"/>
          <w:sz w:val="24"/>
          <w:szCs w:val="24"/>
          <w:lang w:eastAsia="uk-UA"/>
        </w:rPr>
        <w:t xml:space="preserve"> із подальшим вимірюванням їх концентрації в отриманій витяжці за допомогою ІСЕ. Для прискорення аналізу замість витяжки може бути використаний сік аналізованої продукції, розведений розчином алюмокалієвих </w:t>
      </w:r>
      <w:proofErr w:type="spellStart"/>
      <w:r w:rsidRPr="008B2E38">
        <w:rPr>
          <w:rFonts w:ascii="Arial" w:eastAsia="Times New Roman" w:hAnsi="Arial" w:cs="Arial"/>
          <w:color w:val="000000"/>
          <w:sz w:val="24"/>
          <w:szCs w:val="24"/>
          <w:lang w:eastAsia="uk-UA"/>
        </w:rPr>
        <w:t>квасців</w:t>
      </w:r>
      <w:proofErr w:type="spellEnd"/>
      <w:r w:rsidRPr="008B2E38">
        <w:rPr>
          <w:rFonts w:ascii="Arial" w:eastAsia="Times New Roman" w:hAnsi="Arial" w:cs="Arial"/>
          <w:color w:val="000000"/>
          <w:sz w:val="24"/>
          <w:szCs w:val="24"/>
          <w:lang w:eastAsia="uk-UA"/>
        </w:rPr>
        <w:t>. При аналізі капусти для руйнування домішок, що заважають визначенню нітратів, додатково проводять їх окислення марганцевокислим калієм.</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Метод непридатний, якщо вміст хлоридів в уже згадуваному матеріалі більш ніж в 25 разів перевищує вміст нітратів за їхньої концентрації до 50 мг/кг і в 50 разів – за більш високої.</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Існує методика виконання вимірювань концентрацій нітратів в харчових продуктах методом іонної хроматографії, що ґрунтується на вилученні нітратів з аналізованого продукту водою та аналізі отриманої водної витяжки методом іонної хроматографії.</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Для визначення N-</w:t>
      </w:r>
      <w:proofErr w:type="spellStart"/>
      <w:r w:rsidRPr="008B2E38">
        <w:rPr>
          <w:rFonts w:ascii="Arial" w:eastAsia="Times New Roman" w:hAnsi="Arial" w:cs="Arial"/>
          <w:b/>
          <w:bCs/>
          <w:color w:val="000000"/>
          <w:sz w:val="24"/>
          <w:szCs w:val="24"/>
          <w:lang w:eastAsia="uk-UA"/>
        </w:rPr>
        <w:t>нітрозамінів</w:t>
      </w:r>
      <w:proofErr w:type="spellEnd"/>
      <w:r w:rsidRPr="008B2E38">
        <w:rPr>
          <w:rFonts w:ascii="Arial" w:eastAsia="Times New Roman" w:hAnsi="Arial" w:cs="Arial"/>
          <w:b/>
          <w:bCs/>
          <w:color w:val="000000"/>
          <w:sz w:val="24"/>
          <w:szCs w:val="24"/>
          <w:lang w:eastAsia="uk-UA"/>
        </w:rPr>
        <w:t xml:space="preserve"> використовують два варіанти </w:t>
      </w:r>
      <w:proofErr w:type="spellStart"/>
      <w:r w:rsidRPr="008B2E38">
        <w:rPr>
          <w:rFonts w:ascii="Arial" w:eastAsia="Times New Roman" w:hAnsi="Arial" w:cs="Arial"/>
          <w:b/>
          <w:bCs/>
          <w:color w:val="000000"/>
          <w:sz w:val="24"/>
          <w:szCs w:val="24"/>
          <w:lang w:eastAsia="uk-UA"/>
        </w:rPr>
        <w:t>флуориметричного</w:t>
      </w:r>
      <w:proofErr w:type="spellEnd"/>
      <w:r w:rsidRPr="008B2E38">
        <w:rPr>
          <w:rFonts w:ascii="Arial" w:eastAsia="Times New Roman" w:hAnsi="Arial" w:cs="Arial"/>
          <w:b/>
          <w:bCs/>
          <w:color w:val="000000"/>
          <w:sz w:val="24"/>
          <w:szCs w:val="24"/>
          <w:lang w:eastAsia="uk-UA"/>
        </w:rPr>
        <w:t xml:space="preserve"> методу і хемілюмінесцентний метод.</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ФЛУОРИМЕТРИЧНИЙ МЕТОД ВИЗНАЧЕННЯ НІТРОЗАМІНІВ</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Метод визначення N-</w:t>
      </w:r>
      <w:proofErr w:type="spellStart"/>
      <w:r w:rsidRPr="008B2E38">
        <w:rPr>
          <w:rFonts w:ascii="Arial" w:eastAsia="Times New Roman" w:hAnsi="Arial" w:cs="Arial"/>
          <w:color w:val="000000"/>
          <w:sz w:val="24"/>
          <w:szCs w:val="24"/>
          <w:lang w:eastAsia="uk-UA"/>
        </w:rPr>
        <w:t>нітрозамінів</w:t>
      </w:r>
      <w:proofErr w:type="spellEnd"/>
      <w:r w:rsidRPr="008B2E38">
        <w:rPr>
          <w:rFonts w:ascii="Arial" w:eastAsia="Times New Roman" w:hAnsi="Arial" w:cs="Arial"/>
          <w:color w:val="000000"/>
          <w:sz w:val="24"/>
          <w:szCs w:val="24"/>
          <w:lang w:eastAsia="uk-UA"/>
        </w:rPr>
        <w:t xml:space="preserve"> в харчових продуктах та продовольчій сировині включає такі стадії:</w:t>
      </w:r>
    </w:p>
    <w:p w:rsidR="008B2E38" w:rsidRPr="008B2E38" w:rsidRDefault="008B2E38" w:rsidP="008B2E38">
      <w:pPr>
        <w:numPr>
          <w:ilvl w:val="0"/>
          <w:numId w:val="9"/>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Виділення летких N-</w:t>
      </w:r>
      <w:proofErr w:type="spellStart"/>
      <w:r w:rsidRPr="008B2E38">
        <w:rPr>
          <w:rFonts w:ascii="Arial" w:eastAsia="Times New Roman" w:hAnsi="Arial" w:cs="Arial"/>
          <w:color w:val="000000"/>
          <w:sz w:val="24"/>
          <w:szCs w:val="24"/>
          <w:lang w:eastAsia="uk-UA"/>
        </w:rPr>
        <w:t>нітрозамінів</w:t>
      </w:r>
      <w:proofErr w:type="spellEnd"/>
      <w:r w:rsidRPr="008B2E38">
        <w:rPr>
          <w:rFonts w:ascii="Arial" w:eastAsia="Times New Roman" w:hAnsi="Arial" w:cs="Arial"/>
          <w:color w:val="000000"/>
          <w:sz w:val="24"/>
          <w:szCs w:val="24"/>
          <w:lang w:eastAsia="uk-UA"/>
        </w:rPr>
        <w:t xml:space="preserve"> шляхом перегонки з парою або у вакуумі</w:t>
      </w:r>
    </w:p>
    <w:p w:rsidR="008B2E38" w:rsidRPr="008B2E38" w:rsidRDefault="008B2E38" w:rsidP="008B2E38">
      <w:pPr>
        <w:numPr>
          <w:ilvl w:val="0"/>
          <w:numId w:val="9"/>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Екстракція хлористим метиленом </w:t>
      </w:r>
      <w:proofErr w:type="spellStart"/>
      <w:r w:rsidRPr="008B2E38">
        <w:rPr>
          <w:rFonts w:ascii="Arial" w:eastAsia="Times New Roman" w:hAnsi="Arial" w:cs="Arial"/>
          <w:color w:val="000000"/>
          <w:sz w:val="24"/>
          <w:szCs w:val="24"/>
          <w:lang w:eastAsia="uk-UA"/>
        </w:rPr>
        <w:t>нітрозамінів</w:t>
      </w:r>
      <w:proofErr w:type="spellEnd"/>
      <w:r w:rsidRPr="008B2E38">
        <w:rPr>
          <w:rFonts w:ascii="Arial" w:eastAsia="Times New Roman" w:hAnsi="Arial" w:cs="Arial"/>
          <w:color w:val="000000"/>
          <w:sz w:val="24"/>
          <w:szCs w:val="24"/>
          <w:lang w:eastAsia="uk-UA"/>
        </w:rPr>
        <w:t xml:space="preserve"> із водного дистиляту</w:t>
      </w:r>
    </w:p>
    <w:p w:rsidR="008B2E38" w:rsidRPr="008B2E38" w:rsidRDefault="008B2E38" w:rsidP="008B2E38">
      <w:pPr>
        <w:numPr>
          <w:ilvl w:val="0"/>
          <w:numId w:val="9"/>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Концентрація екстракту</w:t>
      </w:r>
    </w:p>
    <w:p w:rsidR="008B2E38" w:rsidRPr="008B2E38" w:rsidRDefault="008B2E38" w:rsidP="008B2E38">
      <w:pPr>
        <w:numPr>
          <w:ilvl w:val="0"/>
          <w:numId w:val="9"/>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proofErr w:type="spellStart"/>
      <w:r w:rsidRPr="008B2E38">
        <w:rPr>
          <w:rFonts w:ascii="Arial" w:eastAsia="Times New Roman" w:hAnsi="Arial" w:cs="Arial"/>
          <w:color w:val="000000"/>
          <w:sz w:val="24"/>
          <w:szCs w:val="24"/>
          <w:lang w:eastAsia="uk-UA"/>
        </w:rPr>
        <w:t>Денітрозування</w:t>
      </w:r>
      <w:proofErr w:type="spellEnd"/>
      <w:r w:rsidRPr="008B2E38">
        <w:rPr>
          <w:rFonts w:ascii="Arial" w:eastAsia="Times New Roman" w:hAnsi="Arial" w:cs="Arial"/>
          <w:color w:val="000000"/>
          <w:sz w:val="24"/>
          <w:szCs w:val="24"/>
          <w:lang w:eastAsia="uk-UA"/>
        </w:rPr>
        <w:t xml:space="preserve"> </w:t>
      </w:r>
      <w:proofErr w:type="spellStart"/>
      <w:r w:rsidRPr="008B2E38">
        <w:rPr>
          <w:rFonts w:ascii="Arial" w:eastAsia="Times New Roman" w:hAnsi="Arial" w:cs="Arial"/>
          <w:color w:val="000000"/>
          <w:sz w:val="24"/>
          <w:szCs w:val="24"/>
          <w:lang w:eastAsia="uk-UA"/>
        </w:rPr>
        <w:t>нітрозамінів</w:t>
      </w:r>
      <w:proofErr w:type="spellEnd"/>
      <w:r w:rsidRPr="008B2E38">
        <w:rPr>
          <w:rFonts w:ascii="Arial" w:eastAsia="Times New Roman" w:hAnsi="Arial" w:cs="Arial"/>
          <w:color w:val="000000"/>
          <w:sz w:val="24"/>
          <w:szCs w:val="24"/>
          <w:lang w:eastAsia="uk-UA"/>
        </w:rPr>
        <w:t xml:space="preserve"> бромистим воднем в оцтовій кислоті</w:t>
      </w:r>
    </w:p>
    <w:p w:rsidR="008B2E38" w:rsidRPr="008B2E38" w:rsidRDefault="008B2E38" w:rsidP="008B2E38">
      <w:pPr>
        <w:numPr>
          <w:ilvl w:val="0"/>
          <w:numId w:val="9"/>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proofErr w:type="spellStart"/>
      <w:r w:rsidRPr="008B2E38">
        <w:rPr>
          <w:rFonts w:ascii="Arial" w:eastAsia="Times New Roman" w:hAnsi="Arial" w:cs="Arial"/>
          <w:color w:val="000000"/>
          <w:sz w:val="24"/>
          <w:szCs w:val="24"/>
          <w:lang w:eastAsia="uk-UA"/>
        </w:rPr>
        <w:t>Алкування</w:t>
      </w:r>
      <w:proofErr w:type="spellEnd"/>
      <w:r w:rsidRPr="008B2E38">
        <w:rPr>
          <w:rFonts w:ascii="Arial" w:eastAsia="Times New Roman" w:hAnsi="Arial" w:cs="Arial"/>
          <w:color w:val="000000"/>
          <w:sz w:val="24"/>
          <w:szCs w:val="24"/>
          <w:lang w:eastAsia="uk-UA"/>
        </w:rPr>
        <w:t xml:space="preserve"> утворених амінів 8-метокси-5-хінолінсульфонілазірідіном (</w:t>
      </w:r>
      <w:proofErr w:type="spellStart"/>
      <w:r w:rsidRPr="008B2E38">
        <w:rPr>
          <w:rFonts w:ascii="Arial" w:eastAsia="Times New Roman" w:hAnsi="Arial" w:cs="Arial"/>
          <w:color w:val="000000"/>
          <w:sz w:val="24"/>
          <w:szCs w:val="24"/>
          <w:lang w:eastAsia="uk-UA"/>
        </w:rPr>
        <w:t>КАЕ-похідні</w:t>
      </w:r>
      <w:proofErr w:type="spellEnd"/>
      <w:r w:rsidRPr="008B2E38">
        <w:rPr>
          <w:rFonts w:ascii="Arial" w:eastAsia="Times New Roman" w:hAnsi="Arial" w:cs="Arial"/>
          <w:color w:val="000000"/>
          <w:sz w:val="24"/>
          <w:szCs w:val="24"/>
          <w:lang w:eastAsia="uk-UA"/>
        </w:rPr>
        <w:t>)</w:t>
      </w:r>
    </w:p>
    <w:p w:rsidR="008B2E38" w:rsidRPr="008B2E38" w:rsidRDefault="008B2E38" w:rsidP="008B2E38">
      <w:pPr>
        <w:numPr>
          <w:ilvl w:val="0"/>
          <w:numId w:val="9"/>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lastRenderedPageBreak/>
        <w:t>Розділення і кількісне визначення утворених флуоресціюючих 8-метокси-5хінолінсульфонамідних похідних (</w:t>
      </w:r>
      <w:proofErr w:type="spellStart"/>
      <w:r w:rsidRPr="008B2E38">
        <w:rPr>
          <w:rFonts w:ascii="Arial" w:eastAsia="Times New Roman" w:hAnsi="Arial" w:cs="Arial"/>
          <w:color w:val="000000"/>
          <w:sz w:val="24"/>
          <w:szCs w:val="24"/>
          <w:lang w:eastAsia="uk-UA"/>
        </w:rPr>
        <w:t>КАЕ-похідні</w:t>
      </w:r>
      <w:proofErr w:type="spellEnd"/>
      <w:r w:rsidRPr="008B2E38">
        <w:rPr>
          <w:rFonts w:ascii="Arial" w:eastAsia="Times New Roman" w:hAnsi="Arial" w:cs="Arial"/>
          <w:color w:val="000000"/>
          <w:sz w:val="24"/>
          <w:szCs w:val="24"/>
          <w:lang w:eastAsia="uk-UA"/>
        </w:rPr>
        <w:t>) в тонкому шарі силікагелю</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Ідентифікацію </w:t>
      </w:r>
      <w:proofErr w:type="spellStart"/>
      <w:r w:rsidRPr="008B2E38">
        <w:rPr>
          <w:rFonts w:ascii="Arial" w:eastAsia="Times New Roman" w:hAnsi="Arial" w:cs="Arial"/>
          <w:color w:val="000000"/>
          <w:sz w:val="24"/>
          <w:szCs w:val="24"/>
          <w:lang w:eastAsia="uk-UA"/>
        </w:rPr>
        <w:t>нітрозамінів</w:t>
      </w:r>
      <w:proofErr w:type="spellEnd"/>
      <w:r w:rsidRPr="008B2E38">
        <w:rPr>
          <w:rFonts w:ascii="Arial" w:eastAsia="Times New Roman" w:hAnsi="Arial" w:cs="Arial"/>
          <w:color w:val="000000"/>
          <w:sz w:val="24"/>
          <w:szCs w:val="24"/>
          <w:lang w:eastAsia="uk-UA"/>
        </w:rPr>
        <w:t xml:space="preserve"> здійснюють порівнянням рухливості в тонкому шарі силікагелю флуоресціюючих </w:t>
      </w:r>
      <w:proofErr w:type="spellStart"/>
      <w:r w:rsidRPr="008B2E38">
        <w:rPr>
          <w:rFonts w:ascii="Arial" w:eastAsia="Times New Roman" w:hAnsi="Arial" w:cs="Arial"/>
          <w:color w:val="000000"/>
          <w:sz w:val="24"/>
          <w:szCs w:val="24"/>
          <w:lang w:eastAsia="uk-UA"/>
        </w:rPr>
        <w:t>КАЕ-похідних</w:t>
      </w:r>
      <w:proofErr w:type="spellEnd"/>
      <w:r w:rsidRPr="008B2E38">
        <w:rPr>
          <w:rFonts w:ascii="Arial" w:eastAsia="Times New Roman" w:hAnsi="Arial" w:cs="Arial"/>
          <w:color w:val="000000"/>
          <w:sz w:val="24"/>
          <w:szCs w:val="24"/>
          <w:lang w:eastAsia="uk-UA"/>
        </w:rPr>
        <w:t xml:space="preserve"> зі зразка з рухливістю відповідних стандартних похідних: діетиламіну – КАЕ-ДМА, діетиламіну – КАЕ-ДЕА, </w:t>
      </w:r>
      <w:proofErr w:type="spellStart"/>
      <w:r w:rsidRPr="008B2E38">
        <w:rPr>
          <w:rFonts w:ascii="Arial" w:eastAsia="Times New Roman" w:hAnsi="Arial" w:cs="Arial"/>
          <w:color w:val="000000"/>
          <w:sz w:val="24"/>
          <w:szCs w:val="24"/>
          <w:lang w:eastAsia="uk-UA"/>
        </w:rPr>
        <w:t>діпропіламіну</w:t>
      </w:r>
      <w:proofErr w:type="spellEnd"/>
      <w:r w:rsidRPr="008B2E38">
        <w:rPr>
          <w:rFonts w:ascii="Arial" w:eastAsia="Times New Roman" w:hAnsi="Arial" w:cs="Arial"/>
          <w:color w:val="000000"/>
          <w:sz w:val="24"/>
          <w:szCs w:val="24"/>
          <w:lang w:eastAsia="uk-UA"/>
        </w:rPr>
        <w:t xml:space="preserve"> – КАЕ-ДПА.</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В основі </w:t>
      </w:r>
      <w:proofErr w:type="spellStart"/>
      <w:r w:rsidRPr="008B2E38">
        <w:rPr>
          <w:rFonts w:ascii="Arial" w:eastAsia="Times New Roman" w:hAnsi="Arial" w:cs="Arial"/>
          <w:color w:val="000000"/>
          <w:sz w:val="24"/>
          <w:szCs w:val="24"/>
          <w:lang w:eastAsia="uk-UA"/>
        </w:rPr>
        <w:t>напівкількісного</w:t>
      </w:r>
      <w:proofErr w:type="spellEnd"/>
      <w:r w:rsidRPr="008B2E38">
        <w:rPr>
          <w:rFonts w:ascii="Arial" w:eastAsia="Times New Roman" w:hAnsi="Arial" w:cs="Arial"/>
          <w:color w:val="000000"/>
          <w:sz w:val="24"/>
          <w:szCs w:val="24"/>
          <w:lang w:eastAsia="uk-UA"/>
        </w:rPr>
        <w:t xml:space="preserve"> визначення лежить візуальне порівняння інтенсивності флуоресценції плям </w:t>
      </w:r>
      <w:proofErr w:type="spellStart"/>
      <w:r w:rsidRPr="008B2E38">
        <w:rPr>
          <w:rFonts w:ascii="Arial" w:eastAsia="Times New Roman" w:hAnsi="Arial" w:cs="Arial"/>
          <w:color w:val="000000"/>
          <w:sz w:val="24"/>
          <w:szCs w:val="24"/>
          <w:lang w:eastAsia="uk-UA"/>
        </w:rPr>
        <w:t>КАЕ-похідних</w:t>
      </w:r>
      <w:proofErr w:type="spellEnd"/>
      <w:r w:rsidRPr="008B2E38">
        <w:rPr>
          <w:rFonts w:ascii="Arial" w:eastAsia="Times New Roman" w:hAnsi="Arial" w:cs="Arial"/>
          <w:color w:val="000000"/>
          <w:sz w:val="24"/>
          <w:szCs w:val="24"/>
          <w:lang w:eastAsia="uk-UA"/>
        </w:rPr>
        <w:t xml:space="preserve"> зі зразка з інтенсивністю флуоресценції плям стандартних сполук.</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Для кількісного визначення їх витягують із сорбенту і вимірюють величини флуоресценції </w:t>
      </w:r>
      <w:proofErr w:type="spellStart"/>
      <w:r w:rsidRPr="008B2E38">
        <w:rPr>
          <w:rFonts w:ascii="Arial" w:eastAsia="Times New Roman" w:hAnsi="Arial" w:cs="Arial"/>
          <w:color w:val="000000"/>
          <w:sz w:val="24"/>
          <w:szCs w:val="24"/>
          <w:lang w:eastAsia="uk-UA"/>
        </w:rPr>
        <w:t>КАЕ-похідних</w:t>
      </w:r>
      <w:proofErr w:type="spellEnd"/>
      <w:r w:rsidRPr="008B2E38">
        <w:rPr>
          <w:rFonts w:ascii="Arial" w:eastAsia="Times New Roman" w:hAnsi="Arial" w:cs="Arial"/>
          <w:color w:val="000000"/>
          <w:sz w:val="24"/>
          <w:szCs w:val="24"/>
          <w:lang w:eastAsia="uk-UA"/>
        </w:rPr>
        <w:t xml:space="preserve"> із використанням флуорометра.</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ХЕМІЛЮМІНЕСЦЕНТНИЙ МЕТОД ВИЗНАЧЕННЯ НІТРОЗАМІНІВ (АРБІТРАЖНИЙ)</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Метод ідентифікації та кількісного визначення </w:t>
      </w:r>
      <w:proofErr w:type="spellStart"/>
      <w:r w:rsidRPr="008B2E38">
        <w:rPr>
          <w:rFonts w:ascii="Arial" w:eastAsia="Times New Roman" w:hAnsi="Arial" w:cs="Arial"/>
          <w:color w:val="000000"/>
          <w:sz w:val="24"/>
          <w:szCs w:val="24"/>
          <w:lang w:eastAsia="uk-UA"/>
        </w:rPr>
        <w:t>нітрозамінів</w:t>
      </w:r>
      <w:proofErr w:type="spellEnd"/>
      <w:r w:rsidRPr="008B2E38">
        <w:rPr>
          <w:rFonts w:ascii="Arial" w:eastAsia="Times New Roman" w:hAnsi="Arial" w:cs="Arial"/>
          <w:color w:val="000000"/>
          <w:sz w:val="24"/>
          <w:szCs w:val="24"/>
          <w:lang w:eastAsia="uk-UA"/>
        </w:rPr>
        <w:t xml:space="preserve"> полягає у виділенні летких </w:t>
      </w:r>
      <w:proofErr w:type="spellStart"/>
      <w:r w:rsidRPr="008B2E38">
        <w:rPr>
          <w:rFonts w:ascii="Arial" w:eastAsia="Times New Roman" w:hAnsi="Arial" w:cs="Arial"/>
          <w:color w:val="000000"/>
          <w:sz w:val="24"/>
          <w:szCs w:val="24"/>
          <w:lang w:eastAsia="uk-UA"/>
        </w:rPr>
        <w:t>нітрозамінів</w:t>
      </w:r>
      <w:proofErr w:type="spellEnd"/>
      <w:r w:rsidRPr="008B2E38">
        <w:rPr>
          <w:rFonts w:ascii="Arial" w:eastAsia="Times New Roman" w:hAnsi="Arial" w:cs="Arial"/>
          <w:color w:val="000000"/>
          <w:sz w:val="24"/>
          <w:szCs w:val="24"/>
          <w:lang w:eastAsia="uk-UA"/>
        </w:rPr>
        <w:t xml:space="preserve"> шляхом перегонки з парою або у вакуумі, екстракції хлористим метиленом </w:t>
      </w:r>
      <w:proofErr w:type="spellStart"/>
      <w:r w:rsidRPr="008B2E38">
        <w:rPr>
          <w:rFonts w:ascii="Arial" w:eastAsia="Times New Roman" w:hAnsi="Arial" w:cs="Arial"/>
          <w:color w:val="000000"/>
          <w:sz w:val="24"/>
          <w:szCs w:val="24"/>
          <w:lang w:eastAsia="uk-UA"/>
        </w:rPr>
        <w:t>нітрозамінів</w:t>
      </w:r>
      <w:proofErr w:type="spellEnd"/>
      <w:r w:rsidRPr="008B2E38">
        <w:rPr>
          <w:rFonts w:ascii="Arial" w:eastAsia="Times New Roman" w:hAnsi="Arial" w:cs="Arial"/>
          <w:color w:val="000000"/>
          <w:sz w:val="24"/>
          <w:szCs w:val="24"/>
          <w:lang w:eastAsia="uk-UA"/>
        </w:rPr>
        <w:t xml:space="preserve"> із водного дистиляту, концентруванні екстракту, розділенні суміші методом газорідинної хроматографії і кількісному визначенні </w:t>
      </w:r>
      <w:proofErr w:type="spellStart"/>
      <w:r w:rsidRPr="008B2E38">
        <w:rPr>
          <w:rFonts w:ascii="Arial" w:eastAsia="Times New Roman" w:hAnsi="Arial" w:cs="Arial"/>
          <w:color w:val="000000"/>
          <w:sz w:val="24"/>
          <w:szCs w:val="24"/>
          <w:lang w:eastAsia="uk-UA"/>
        </w:rPr>
        <w:t>немодифікованих</w:t>
      </w:r>
      <w:proofErr w:type="spellEnd"/>
      <w:r w:rsidRPr="008B2E38">
        <w:rPr>
          <w:rFonts w:ascii="Arial" w:eastAsia="Times New Roman" w:hAnsi="Arial" w:cs="Arial"/>
          <w:color w:val="000000"/>
          <w:sz w:val="24"/>
          <w:szCs w:val="24"/>
          <w:lang w:eastAsia="uk-UA"/>
        </w:rPr>
        <w:t xml:space="preserve"> </w:t>
      </w:r>
      <w:proofErr w:type="spellStart"/>
      <w:r w:rsidRPr="008B2E38">
        <w:rPr>
          <w:rFonts w:ascii="Arial" w:eastAsia="Times New Roman" w:hAnsi="Arial" w:cs="Arial"/>
          <w:color w:val="000000"/>
          <w:sz w:val="24"/>
          <w:szCs w:val="24"/>
          <w:lang w:eastAsia="uk-UA"/>
        </w:rPr>
        <w:t>нітрозамінів</w:t>
      </w:r>
      <w:proofErr w:type="spellEnd"/>
      <w:r w:rsidRPr="008B2E38">
        <w:rPr>
          <w:rFonts w:ascii="Arial" w:eastAsia="Times New Roman" w:hAnsi="Arial" w:cs="Arial"/>
          <w:color w:val="000000"/>
          <w:sz w:val="24"/>
          <w:szCs w:val="24"/>
          <w:lang w:eastAsia="uk-UA"/>
        </w:rPr>
        <w:t xml:space="preserve"> за допомогою </w:t>
      </w:r>
      <w:proofErr w:type="spellStart"/>
      <w:r w:rsidRPr="008B2E38">
        <w:rPr>
          <w:rFonts w:ascii="Arial" w:eastAsia="Times New Roman" w:hAnsi="Arial" w:cs="Arial"/>
          <w:color w:val="000000"/>
          <w:sz w:val="24"/>
          <w:szCs w:val="24"/>
          <w:lang w:eastAsia="uk-UA"/>
        </w:rPr>
        <w:t>високоселективного</w:t>
      </w:r>
      <w:proofErr w:type="spellEnd"/>
      <w:r w:rsidRPr="008B2E38">
        <w:rPr>
          <w:rFonts w:ascii="Arial" w:eastAsia="Times New Roman" w:hAnsi="Arial" w:cs="Arial"/>
          <w:color w:val="000000"/>
          <w:sz w:val="24"/>
          <w:szCs w:val="24"/>
          <w:lang w:eastAsia="uk-UA"/>
        </w:rPr>
        <w:t xml:space="preserve"> і високочутливого хемілюмінесцентного (</w:t>
      </w:r>
      <w:proofErr w:type="spellStart"/>
      <w:r w:rsidRPr="008B2E38">
        <w:rPr>
          <w:rFonts w:ascii="Arial" w:eastAsia="Times New Roman" w:hAnsi="Arial" w:cs="Arial"/>
          <w:color w:val="000000"/>
          <w:sz w:val="24"/>
          <w:szCs w:val="24"/>
          <w:lang w:eastAsia="uk-UA"/>
        </w:rPr>
        <w:t>термоенергетичного</w:t>
      </w:r>
      <w:proofErr w:type="spellEnd"/>
      <w:r w:rsidRPr="008B2E38">
        <w:rPr>
          <w:rFonts w:ascii="Arial" w:eastAsia="Times New Roman" w:hAnsi="Arial" w:cs="Arial"/>
          <w:color w:val="000000"/>
          <w:sz w:val="24"/>
          <w:szCs w:val="24"/>
          <w:lang w:eastAsia="uk-UA"/>
        </w:rPr>
        <w:t>) детектора ТЕА-502.</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Ідентифікацію </w:t>
      </w:r>
      <w:proofErr w:type="spellStart"/>
      <w:r w:rsidRPr="008B2E38">
        <w:rPr>
          <w:rFonts w:ascii="Arial" w:eastAsia="Times New Roman" w:hAnsi="Arial" w:cs="Arial"/>
          <w:color w:val="000000"/>
          <w:sz w:val="24"/>
          <w:szCs w:val="24"/>
          <w:lang w:eastAsia="uk-UA"/>
        </w:rPr>
        <w:t>нітрозамінів</w:t>
      </w:r>
      <w:proofErr w:type="spellEnd"/>
      <w:r w:rsidRPr="008B2E38">
        <w:rPr>
          <w:rFonts w:ascii="Arial" w:eastAsia="Times New Roman" w:hAnsi="Arial" w:cs="Arial"/>
          <w:color w:val="000000"/>
          <w:sz w:val="24"/>
          <w:szCs w:val="24"/>
          <w:lang w:eastAsia="uk-UA"/>
        </w:rPr>
        <w:t xml:space="preserve"> здійснюють за часом утримування порівняно з параметрами утримування стандартних </w:t>
      </w:r>
      <w:proofErr w:type="spellStart"/>
      <w:r w:rsidRPr="008B2E38">
        <w:rPr>
          <w:rFonts w:ascii="Arial" w:eastAsia="Times New Roman" w:hAnsi="Arial" w:cs="Arial"/>
          <w:color w:val="000000"/>
          <w:sz w:val="24"/>
          <w:szCs w:val="24"/>
          <w:lang w:eastAsia="uk-UA"/>
        </w:rPr>
        <w:t>нітрозамінів</w:t>
      </w:r>
      <w:proofErr w:type="spellEnd"/>
      <w:r w:rsidRPr="008B2E38">
        <w:rPr>
          <w:rFonts w:ascii="Arial" w:eastAsia="Times New Roman" w:hAnsi="Arial" w:cs="Arial"/>
          <w:color w:val="000000"/>
          <w:sz w:val="24"/>
          <w:szCs w:val="24"/>
          <w:lang w:eastAsia="uk-UA"/>
        </w:rPr>
        <w:t>. Кількісне визначення проводять методом абсолютного калібрування із систематичним контролем каліброваного коефіцієнта.</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Для визначення вмісту нітратів в Україні діють такі нормативно-затверджені методи:</w:t>
      </w:r>
    </w:p>
    <w:p w:rsidR="008B2E38" w:rsidRPr="008B2E38" w:rsidRDefault="008B2E38" w:rsidP="008B2E38">
      <w:pPr>
        <w:numPr>
          <w:ilvl w:val="0"/>
          <w:numId w:val="10"/>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i/>
          <w:iCs/>
          <w:color w:val="000000"/>
          <w:sz w:val="24"/>
          <w:szCs w:val="24"/>
          <w:lang w:eastAsia="uk-UA"/>
        </w:rPr>
        <w:t>ДСТУ ISO 6635:2004 Фрукти, овочі та продукти перероблення. Визначення вмісту нітратів та нітритів спектрометричним методом молекулярної абсорбції</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Метод заснований на екстракції нітрату гарячою водою, осадженні шляхом додавання розчинів </w:t>
      </w:r>
      <w:proofErr w:type="spellStart"/>
      <w:r w:rsidRPr="008B2E38">
        <w:rPr>
          <w:rFonts w:ascii="Arial" w:eastAsia="Times New Roman" w:hAnsi="Arial" w:cs="Arial"/>
          <w:color w:val="000000"/>
          <w:sz w:val="24"/>
          <w:szCs w:val="24"/>
          <w:lang w:eastAsia="uk-UA"/>
        </w:rPr>
        <w:t>гексаціаноферата</w:t>
      </w:r>
      <w:proofErr w:type="spellEnd"/>
      <w:r w:rsidRPr="008B2E38">
        <w:rPr>
          <w:rFonts w:ascii="Arial" w:eastAsia="Times New Roman" w:hAnsi="Arial" w:cs="Arial"/>
          <w:color w:val="000000"/>
          <w:sz w:val="24"/>
          <w:szCs w:val="24"/>
          <w:lang w:eastAsia="uk-UA"/>
        </w:rPr>
        <w:t xml:space="preserve"> калію (II) і ацетату цинку та фільтрації осаду, із подальшим відновленням нітрату до нітриту металевим кадмієм (тільки для визначення нітрату) і додаванням сульфаніламіду і N- (1-нафтил)етилендіамін </w:t>
      </w:r>
      <w:proofErr w:type="spellStart"/>
      <w:r w:rsidRPr="008B2E38">
        <w:rPr>
          <w:rFonts w:ascii="Arial" w:eastAsia="Times New Roman" w:hAnsi="Arial" w:cs="Arial"/>
          <w:color w:val="000000"/>
          <w:sz w:val="24"/>
          <w:szCs w:val="24"/>
          <w:lang w:eastAsia="uk-UA"/>
        </w:rPr>
        <w:t>дигідрохлориду</w:t>
      </w:r>
      <w:proofErr w:type="spellEnd"/>
      <w:r w:rsidRPr="008B2E38">
        <w:rPr>
          <w:rFonts w:ascii="Arial" w:eastAsia="Times New Roman" w:hAnsi="Arial" w:cs="Arial"/>
          <w:color w:val="000000"/>
          <w:sz w:val="24"/>
          <w:szCs w:val="24"/>
          <w:lang w:eastAsia="uk-UA"/>
        </w:rPr>
        <w:t xml:space="preserve">. Інтенсивність забарвлення розчину утвореної червоної сполуки вимірюють </w:t>
      </w:r>
      <w:proofErr w:type="spellStart"/>
      <w:r w:rsidRPr="008B2E38">
        <w:rPr>
          <w:rFonts w:ascii="Arial" w:eastAsia="Times New Roman" w:hAnsi="Arial" w:cs="Arial"/>
          <w:color w:val="000000"/>
          <w:sz w:val="24"/>
          <w:szCs w:val="24"/>
          <w:lang w:eastAsia="uk-UA"/>
        </w:rPr>
        <w:t>спектрофотометрично</w:t>
      </w:r>
      <w:proofErr w:type="spellEnd"/>
      <w:r w:rsidRPr="008B2E38">
        <w:rPr>
          <w:rFonts w:ascii="Arial" w:eastAsia="Times New Roman" w:hAnsi="Arial" w:cs="Arial"/>
          <w:color w:val="000000"/>
          <w:sz w:val="24"/>
          <w:szCs w:val="24"/>
          <w:lang w:eastAsia="uk-UA"/>
        </w:rPr>
        <w:t xml:space="preserve"> при довжині хвилі 538 </w:t>
      </w:r>
      <w:proofErr w:type="spellStart"/>
      <w:r w:rsidRPr="008B2E38">
        <w:rPr>
          <w:rFonts w:ascii="Arial" w:eastAsia="Times New Roman" w:hAnsi="Arial" w:cs="Arial"/>
          <w:color w:val="000000"/>
          <w:sz w:val="24"/>
          <w:szCs w:val="24"/>
          <w:lang w:eastAsia="uk-UA"/>
        </w:rPr>
        <w:t>нм</w:t>
      </w:r>
      <w:proofErr w:type="spellEnd"/>
      <w:r w:rsidRPr="008B2E38">
        <w:rPr>
          <w:rFonts w:ascii="Arial" w:eastAsia="Times New Roman" w:hAnsi="Arial" w:cs="Arial"/>
          <w:color w:val="000000"/>
          <w:sz w:val="24"/>
          <w:szCs w:val="24"/>
          <w:lang w:eastAsia="uk-UA"/>
        </w:rPr>
        <w:t>.</w:t>
      </w:r>
    </w:p>
    <w:p w:rsidR="008B2E38" w:rsidRPr="008B2E38" w:rsidRDefault="008B2E38" w:rsidP="008B2E38">
      <w:pPr>
        <w:numPr>
          <w:ilvl w:val="0"/>
          <w:numId w:val="11"/>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i/>
          <w:iCs/>
          <w:color w:val="000000"/>
          <w:sz w:val="24"/>
          <w:szCs w:val="24"/>
          <w:lang w:eastAsia="uk-UA"/>
        </w:rPr>
        <w:t>ДСТУ 4948:2008 Фрукти, овочі та продукти їх перероблення. Методи визначення вмісту нітратів</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Стандарт встановлює методи визначення нітратів: фотометричний та </w:t>
      </w:r>
      <w:proofErr w:type="spellStart"/>
      <w:r w:rsidRPr="008B2E38">
        <w:rPr>
          <w:rFonts w:ascii="Arial" w:eastAsia="Times New Roman" w:hAnsi="Arial" w:cs="Arial"/>
          <w:color w:val="000000"/>
          <w:sz w:val="24"/>
          <w:szCs w:val="24"/>
          <w:lang w:eastAsia="uk-UA"/>
        </w:rPr>
        <w:t>іонометричний</w:t>
      </w:r>
      <w:proofErr w:type="spellEnd"/>
      <w:r w:rsidRPr="008B2E38">
        <w:rPr>
          <w:rFonts w:ascii="Arial" w:eastAsia="Times New Roman" w:hAnsi="Arial" w:cs="Arial"/>
          <w:color w:val="000000"/>
          <w:sz w:val="24"/>
          <w:szCs w:val="24"/>
          <w:lang w:eastAsia="uk-UA"/>
        </w:rPr>
        <w:t>.</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Фотометричний метод заснований на екстракції нітратів з продукту, відновлення їх до нітритів на кадмієвій колонці з наступним </w:t>
      </w:r>
      <w:proofErr w:type="spellStart"/>
      <w:r w:rsidRPr="008B2E38">
        <w:rPr>
          <w:rFonts w:ascii="Arial" w:eastAsia="Times New Roman" w:hAnsi="Arial" w:cs="Arial"/>
          <w:color w:val="000000"/>
          <w:sz w:val="24"/>
          <w:szCs w:val="24"/>
          <w:lang w:eastAsia="uk-UA"/>
        </w:rPr>
        <w:t>фотометруванням</w:t>
      </w:r>
      <w:proofErr w:type="spellEnd"/>
      <w:r w:rsidRPr="008B2E38">
        <w:rPr>
          <w:rFonts w:ascii="Arial" w:eastAsia="Times New Roman" w:hAnsi="Arial" w:cs="Arial"/>
          <w:color w:val="000000"/>
          <w:sz w:val="24"/>
          <w:szCs w:val="24"/>
          <w:lang w:eastAsia="uk-UA"/>
        </w:rPr>
        <w:t xml:space="preserve"> розчину азосполуки, що утворюється при взаємодії нітритів з ароматичними амінами.</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proofErr w:type="spellStart"/>
      <w:r w:rsidRPr="008B2E38">
        <w:rPr>
          <w:rFonts w:ascii="Arial" w:eastAsia="Times New Roman" w:hAnsi="Arial" w:cs="Arial"/>
          <w:color w:val="000000"/>
          <w:sz w:val="24"/>
          <w:szCs w:val="24"/>
          <w:lang w:eastAsia="uk-UA"/>
        </w:rPr>
        <w:t>Іонометричний</w:t>
      </w:r>
      <w:proofErr w:type="spellEnd"/>
      <w:r w:rsidRPr="008B2E38">
        <w:rPr>
          <w:rFonts w:ascii="Arial" w:eastAsia="Times New Roman" w:hAnsi="Arial" w:cs="Arial"/>
          <w:color w:val="000000"/>
          <w:sz w:val="24"/>
          <w:szCs w:val="24"/>
          <w:lang w:eastAsia="uk-UA"/>
        </w:rPr>
        <w:t xml:space="preserve"> метод заснований на виведенні нітратів з аналізованого матеріалу розчином алюмокалієвих </w:t>
      </w:r>
      <w:proofErr w:type="spellStart"/>
      <w:r w:rsidRPr="008B2E38">
        <w:rPr>
          <w:rFonts w:ascii="Arial" w:eastAsia="Times New Roman" w:hAnsi="Arial" w:cs="Arial"/>
          <w:color w:val="000000"/>
          <w:sz w:val="24"/>
          <w:szCs w:val="24"/>
          <w:lang w:eastAsia="uk-UA"/>
        </w:rPr>
        <w:t>квасців</w:t>
      </w:r>
      <w:proofErr w:type="spellEnd"/>
      <w:r w:rsidRPr="008B2E38">
        <w:rPr>
          <w:rFonts w:ascii="Arial" w:eastAsia="Times New Roman" w:hAnsi="Arial" w:cs="Arial"/>
          <w:color w:val="000000"/>
          <w:sz w:val="24"/>
          <w:szCs w:val="24"/>
          <w:lang w:eastAsia="uk-UA"/>
        </w:rPr>
        <w:t xml:space="preserve"> із подальшим вимірюванням концентрації нітратів за допомогою </w:t>
      </w:r>
      <w:proofErr w:type="spellStart"/>
      <w:r w:rsidRPr="008B2E38">
        <w:rPr>
          <w:rFonts w:ascii="Arial" w:eastAsia="Times New Roman" w:hAnsi="Arial" w:cs="Arial"/>
          <w:color w:val="000000"/>
          <w:sz w:val="24"/>
          <w:szCs w:val="24"/>
          <w:lang w:eastAsia="uk-UA"/>
        </w:rPr>
        <w:t>іоноселективного</w:t>
      </w:r>
      <w:proofErr w:type="spellEnd"/>
      <w:r w:rsidRPr="008B2E38">
        <w:rPr>
          <w:rFonts w:ascii="Arial" w:eastAsia="Times New Roman" w:hAnsi="Arial" w:cs="Arial"/>
          <w:color w:val="000000"/>
          <w:sz w:val="24"/>
          <w:szCs w:val="24"/>
          <w:lang w:eastAsia="uk-UA"/>
        </w:rPr>
        <w:t xml:space="preserve"> нітратного електроду. Є експресним і дозволяє вести визначення в мутних і забарвлених середовищах. Для усунення домішок, що заважають визначенню нітратів, проводять їх окислення перманганатом калію. Однак метод застосовується для продуктів, що не містять хлоридів, і продуктів, в яких вміст хлоридів не перевищує вміст нітратів більше ніж в 50 разів. Чутливість і вибірковість методу залежать від властивостей </w:t>
      </w:r>
      <w:proofErr w:type="spellStart"/>
      <w:r w:rsidRPr="008B2E38">
        <w:rPr>
          <w:rFonts w:ascii="Arial" w:eastAsia="Times New Roman" w:hAnsi="Arial" w:cs="Arial"/>
          <w:color w:val="000000"/>
          <w:sz w:val="24"/>
          <w:szCs w:val="24"/>
          <w:lang w:eastAsia="uk-UA"/>
        </w:rPr>
        <w:t>нітратселективного</w:t>
      </w:r>
      <w:proofErr w:type="spellEnd"/>
      <w:r w:rsidRPr="008B2E38">
        <w:rPr>
          <w:rFonts w:ascii="Arial" w:eastAsia="Times New Roman" w:hAnsi="Arial" w:cs="Arial"/>
          <w:color w:val="000000"/>
          <w:sz w:val="24"/>
          <w:szCs w:val="24"/>
          <w:lang w:eastAsia="uk-UA"/>
        </w:rPr>
        <w:t xml:space="preserve"> електрода і в середньому становлять 6 мг/л досліджуваного розчину.</w:t>
      </w:r>
    </w:p>
    <w:p w:rsidR="008B2E38" w:rsidRPr="008B2E38" w:rsidRDefault="008B2E38" w:rsidP="008B2E38">
      <w:pPr>
        <w:numPr>
          <w:ilvl w:val="0"/>
          <w:numId w:val="12"/>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i/>
          <w:iCs/>
          <w:color w:val="000000"/>
          <w:sz w:val="24"/>
          <w:szCs w:val="24"/>
          <w:lang w:eastAsia="uk-UA"/>
        </w:rPr>
        <w:lastRenderedPageBreak/>
        <w:t>ДСТУ EN 12014-2-2001 Продукти харчові. Визначання вмісту нітрату і/або нітриту. Частина 2. Метод високоефективної рідинної хроматографії/ іонообмінної високоефективної рідинної хроматографії для визначання вмісту нітрату в овочах та овочевих продуктах</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Метод заснований на екстрагуванні нітрату з проби гарячою водою, очищенні екстракту від зайвих компонентів матриці шляхом обробки розчинами </w:t>
      </w:r>
      <w:proofErr w:type="spellStart"/>
      <w:r w:rsidRPr="008B2E38">
        <w:rPr>
          <w:rFonts w:ascii="Arial" w:eastAsia="Times New Roman" w:hAnsi="Arial" w:cs="Arial"/>
          <w:color w:val="000000"/>
          <w:sz w:val="24"/>
          <w:szCs w:val="24"/>
          <w:lang w:eastAsia="uk-UA"/>
        </w:rPr>
        <w:t>Карреза</w:t>
      </w:r>
      <w:proofErr w:type="spellEnd"/>
      <w:r w:rsidRPr="008B2E38">
        <w:rPr>
          <w:rFonts w:ascii="Arial" w:eastAsia="Times New Roman" w:hAnsi="Arial" w:cs="Arial"/>
          <w:color w:val="000000"/>
          <w:sz w:val="24"/>
          <w:szCs w:val="24"/>
          <w:lang w:eastAsia="uk-UA"/>
        </w:rPr>
        <w:t xml:space="preserve"> або методом </w:t>
      </w:r>
      <w:proofErr w:type="spellStart"/>
      <w:r w:rsidRPr="008B2E38">
        <w:rPr>
          <w:rFonts w:ascii="Arial" w:eastAsia="Times New Roman" w:hAnsi="Arial" w:cs="Arial"/>
          <w:color w:val="000000"/>
          <w:sz w:val="24"/>
          <w:szCs w:val="24"/>
          <w:lang w:eastAsia="uk-UA"/>
        </w:rPr>
        <w:t>твердофазної</w:t>
      </w:r>
      <w:proofErr w:type="spellEnd"/>
      <w:r w:rsidRPr="008B2E38">
        <w:rPr>
          <w:rFonts w:ascii="Arial" w:eastAsia="Times New Roman" w:hAnsi="Arial" w:cs="Arial"/>
          <w:color w:val="000000"/>
          <w:sz w:val="24"/>
          <w:szCs w:val="24"/>
          <w:lang w:eastAsia="uk-UA"/>
        </w:rPr>
        <w:t xml:space="preserve"> екстракції і подальшому аналізі методом обернено-фазової ВЕРХ із застосуванням спектрофотометричного детектування в ультрафіолетової області або методом ІХ із застосуванням </w:t>
      </w:r>
      <w:proofErr w:type="spellStart"/>
      <w:r w:rsidRPr="008B2E38">
        <w:rPr>
          <w:rFonts w:ascii="Arial" w:eastAsia="Times New Roman" w:hAnsi="Arial" w:cs="Arial"/>
          <w:color w:val="000000"/>
          <w:sz w:val="24"/>
          <w:szCs w:val="24"/>
          <w:lang w:eastAsia="uk-UA"/>
        </w:rPr>
        <w:t>кондуктометричного</w:t>
      </w:r>
      <w:proofErr w:type="spellEnd"/>
      <w:r w:rsidRPr="008B2E38">
        <w:rPr>
          <w:rFonts w:ascii="Arial" w:eastAsia="Times New Roman" w:hAnsi="Arial" w:cs="Arial"/>
          <w:color w:val="000000"/>
          <w:sz w:val="24"/>
          <w:szCs w:val="24"/>
          <w:lang w:eastAsia="uk-UA"/>
        </w:rPr>
        <w:t xml:space="preserve"> детектування. Діапазон вимірювань вмісту нітрату даним методом – від 50 до 3000 мг/кг.</w:t>
      </w:r>
    </w:p>
    <w:p w:rsidR="008B2E38" w:rsidRPr="008B2E38" w:rsidRDefault="008B2E38" w:rsidP="008B2E38">
      <w:pPr>
        <w:numPr>
          <w:ilvl w:val="0"/>
          <w:numId w:val="13"/>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i/>
          <w:iCs/>
          <w:color w:val="000000"/>
          <w:sz w:val="24"/>
          <w:szCs w:val="24"/>
          <w:lang w:eastAsia="uk-UA"/>
        </w:rPr>
        <w:t>ДСТУ EN 12014-5:2007 Продукти харчові. Визначення вмісту нітратів і (або) нітритів. Частина 5. Ферментативний метод визначення вмісту нітратів в овочевих продуктах для дитячого харчування</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Метод заснований на екстрагуванні нітратів з проби водою і ферментативному відновленні нітрату до нітриту в присутності відновленої форми коферменту НАДФ (НАДФ∙Н). Кількість НАДФ∙Н, витрачена на відновлення нітрату, відповідає кількості нітрату і вимірюється </w:t>
      </w:r>
      <w:proofErr w:type="spellStart"/>
      <w:r w:rsidRPr="008B2E38">
        <w:rPr>
          <w:rFonts w:ascii="Arial" w:eastAsia="Times New Roman" w:hAnsi="Arial" w:cs="Arial"/>
          <w:color w:val="000000"/>
          <w:sz w:val="24"/>
          <w:szCs w:val="24"/>
          <w:lang w:eastAsia="uk-UA"/>
        </w:rPr>
        <w:t>фотометрично</w:t>
      </w:r>
      <w:proofErr w:type="spellEnd"/>
      <w:r w:rsidRPr="008B2E38">
        <w:rPr>
          <w:rFonts w:ascii="Arial" w:eastAsia="Times New Roman" w:hAnsi="Arial" w:cs="Arial"/>
          <w:color w:val="000000"/>
          <w:sz w:val="24"/>
          <w:szCs w:val="24"/>
          <w:lang w:eastAsia="uk-UA"/>
        </w:rPr>
        <w:t>. Діапазон вимірювань вмісту нітрату даним методом – від 50 до 200 мг/кг.</w:t>
      </w:r>
    </w:p>
    <w:p w:rsidR="008B2E38" w:rsidRPr="008B2E38" w:rsidRDefault="008B2E38" w:rsidP="008B2E38">
      <w:pPr>
        <w:numPr>
          <w:ilvl w:val="0"/>
          <w:numId w:val="14"/>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i/>
          <w:iCs/>
          <w:color w:val="000000"/>
          <w:sz w:val="24"/>
          <w:szCs w:val="24"/>
          <w:lang w:eastAsia="uk-UA"/>
        </w:rPr>
        <w:t>• ДСТУ EN 12014-7:2014 Продукти харчові. Визначення вмісту нітратів і/або нітритів. Частина 7. Метод безперервного потоку для визначення вмісту нітратів в овочах та овочевих продуктах після відновлення кадмію</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Зразки для аналізу екстрагуються водою і фільтруються. Фільтрат переноситься в діалізатор системи безперервного потоку. </w:t>
      </w:r>
      <w:proofErr w:type="spellStart"/>
      <w:r w:rsidRPr="008B2E38">
        <w:rPr>
          <w:rFonts w:ascii="Arial" w:eastAsia="Times New Roman" w:hAnsi="Arial" w:cs="Arial"/>
          <w:color w:val="000000"/>
          <w:sz w:val="24"/>
          <w:szCs w:val="24"/>
          <w:lang w:eastAsia="uk-UA"/>
        </w:rPr>
        <w:t>Аліквотні</w:t>
      </w:r>
      <w:proofErr w:type="spellEnd"/>
      <w:r w:rsidRPr="008B2E38">
        <w:rPr>
          <w:rFonts w:ascii="Arial" w:eastAsia="Times New Roman" w:hAnsi="Arial" w:cs="Arial"/>
          <w:color w:val="000000"/>
          <w:sz w:val="24"/>
          <w:szCs w:val="24"/>
          <w:lang w:eastAsia="uk-UA"/>
        </w:rPr>
        <w:t xml:space="preserve"> частини нітратних іонів дифундують у блок діалізу з гідрофільної мембраною в злегка лужний буферний розчин, в якому нітрати відновлюються до нітритів металевим кадмієм. Нітрит-іони реагують з сульфаніламідами і IV-1-нафтілетілендіаміном, утворюючи </w:t>
      </w:r>
      <w:proofErr w:type="spellStart"/>
      <w:r w:rsidRPr="008B2E38">
        <w:rPr>
          <w:rFonts w:ascii="Arial" w:eastAsia="Times New Roman" w:hAnsi="Arial" w:cs="Arial"/>
          <w:color w:val="000000"/>
          <w:sz w:val="24"/>
          <w:szCs w:val="24"/>
          <w:lang w:eastAsia="uk-UA"/>
        </w:rPr>
        <w:t>азофарбник</w:t>
      </w:r>
      <w:proofErr w:type="spellEnd"/>
      <w:r w:rsidRPr="008B2E38">
        <w:rPr>
          <w:rFonts w:ascii="Arial" w:eastAsia="Times New Roman" w:hAnsi="Arial" w:cs="Arial"/>
          <w:color w:val="000000"/>
          <w:sz w:val="24"/>
          <w:szCs w:val="24"/>
          <w:lang w:eastAsia="uk-UA"/>
        </w:rPr>
        <w:t xml:space="preserve"> червоно-фіолетового кольору. Поглинання цього барвника визначають </w:t>
      </w:r>
      <w:proofErr w:type="spellStart"/>
      <w:r w:rsidRPr="008B2E38">
        <w:rPr>
          <w:rFonts w:ascii="Arial" w:eastAsia="Times New Roman" w:hAnsi="Arial" w:cs="Arial"/>
          <w:color w:val="000000"/>
          <w:sz w:val="24"/>
          <w:szCs w:val="24"/>
          <w:lang w:eastAsia="uk-UA"/>
        </w:rPr>
        <w:t>спектрофотометрично</w:t>
      </w:r>
      <w:proofErr w:type="spellEnd"/>
      <w:r w:rsidRPr="008B2E38">
        <w:rPr>
          <w:rFonts w:ascii="Arial" w:eastAsia="Times New Roman" w:hAnsi="Arial" w:cs="Arial"/>
          <w:color w:val="000000"/>
          <w:sz w:val="24"/>
          <w:szCs w:val="24"/>
          <w:lang w:eastAsia="uk-UA"/>
        </w:rPr>
        <w:t xml:space="preserve"> при довжині хвилі 520–540 </w:t>
      </w:r>
      <w:proofErr w:type="spellStart"/>
      <w:r w:rsidRPr="008B2E38">
        <w:rPr>
          <w:rFonts w:ascii="Arial" w:eastAsia="Times New Roman" w:hAnsi="Arial" w:cs="Arial"/>
          <w:color w:val="000000"/>
          <w:sz w:val="24"/>
          <w:szCs w:val="24"/>
          <w:lang w:eastAsia="uk-UA"/>
        </w:rPr>
        <w:t>нм</w:t>
      </w:r>
      <w:proofErr w:type="spellEnd"/>
      <w:r w:rsidRPr="008B2E38">
        <w:rPr>
          <w:rFonts w:ascii="Arial" w:eastAsia="Times New Roman" w:hAnsi="Arial" w:cs="Arial"/>
          <w:color w:val="000000"/>
          <w:sz w:val="24"/>
          <w:szCs w:val="24"/>
          <w:lang w:eastAsia="uk-UA"/>
        </w:rPr>
        <w:t>. Даний метод можна застосовувати для визначення вмісту нітрату в овочах і овочевих продуктах в діапазоні від 900 до 5200 мг/кг (в перерахунку на нітрат-іон).</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Також існує ряд експрес-методів</w:t>
      </w:r>
      <w:r w:rsidRPr="008B2E38">
        <w:rPr>
          <w:rFonts w:ascii="Arial" w:eastAsia="Times New Roman" w:hAnsi="Arial" w:cs="Arial"/>
          <w:color w:val="000000"/>
          <w:sz w:val="24"/>
          <w:szCs w:val="24"/>
          <w:lang w:eastAsia="uk-UA"/>
        </w:rPr>
        <w:t> сумарного визначення нітратів і нітритів в плодоовочевої продукції.</w:t>
      </w:r>
    </w:p>
    <w:p w:rsidR="008B2E38" w:rsidRPr="008B2E38" w:rsidRDefault="008B2E38" w:rsidP="008B2E38">
      <w:pPr>
        <w:numPr>
          <w:ilvl w:val="0"/>
          <w:numId w:val="15"/>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Експрес-метод із використанням ДФА (дифеніламіну): на годинне скло помістити три краплі розчину дифеніламіну, п'ять крапель концентрованої сірчаної кислоти і кілька крапель досліджуваного розчину. У присутності </w:t>
      </w:r>
      <w:proofErr w:type="spellStart"/>
      <w:r w:rsidRPr="008B2E38">
        <w:rPr>
          <w:rFonts w:ascii="Arial" w:eastAsia="Times New Roman" w:hAnsi="Arial" w:cs="Arial"/>
          <w:color w:val="000000"/>
          <w:sz w:val="24"/>
          <w:szCs w:val="24"/>
          <w:lang w:eastAsia="uk-UA"/>
        </w:rPr>
        <w:t>нітрат-і</w:t>
      </w:r>
      <w:proofErr w:type="spellEnd"/>
      <w:r w:rsidRPr="008B2E38">
        <w:rPr>
          <w:rFonts w:ascii="Arial" w:eastAsia="Times New Roman" w:hAnsi="Arial" w:cs="Arial"/>
          <w:color w:val="000000"/>
          <w:sz w:val="24"/>
          <w:szCs w:val="24"/>
          <w:lang w:eastAsia="uk-UA"/>
        </w:rPr>
        <w:t xml:space="preserve"> нітрит-іонів з'являється забарвлення від блакитного до темно-синього кольору, за інтенсивністю якого можна судити про кількість іонів в зразку</w:t>
      </w:r>
    </w:p>
    <w:p w:rsidR="008B2E38" w:rsidRPr="008B2E38" w:rsidRDefault="008B2E38" w:rsidP="008B2E38">
      <w:pPr>
        <w:numPr>
          <w:ilvl w:val="0"/>
          <w:numId w:val="15"/>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Індикаторні тест-смужки</w:t>
      </w:r>
    </w:p>
    <w:p w:rsidR="008B2E38" w:rsidRPr="008B2E38" w:rsidRDefault="008B2E38" w:rsidP="008B2E38">
      <w:pPr>
        <w:numPr>
          <w:ilvl w:val="0"/>
          <w:numId w:val="15"/>
        </w:numPr>
        <w:shd w:val="clear" w:color="auto" w:fill="F7F7F7"/>
        <w:spacing w:before="100" w:beforeAutospacing="1" w:after="100" w:afterAutospacing="1" w:line="240" w:lineRule="auto"/>
        <w:ind w:left="0"/>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Портативні нітрат-тестери</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Такі експрес-методи характеризуються меншою точністю порівняно з кількісними методами.</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МЕТОДИЧНЕ ЗАБЕЗПЕЧЕННЯ</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На завершення варто сказати, що контроль за дотриманням </w:t>
      </w:r>
      <w:proofErr w:type="spellStart"/>
      <w:r w:rsidRPr="008B2E38">
        <w:rPr>
          <w:rFonts w:ascii="Arial" w:eastAsia="Times New Roman" w:hAnsi="Arial" w:cs="Arial"/>
          <w:color w:val="000000"/>
          <w:sz w:val="24"/>
          <w:szCs w:val="24"/>
          <w:lang w:eastAsia="uk-UA"/>
        </w:rPr>
        <w:t>еколого-гігієнічних</w:t>
      </w:r>
      <w:proofErr w:type="spellEnd"/>
      <w:r w:rsidRPr="008B2E38">
        <w:rPr>
          <w:rFonts w:ascii="Arial" w:eastAsia="Times New Roman" w:hAnsi="Arial" w:cs="Arial"/>
          <w:color w:val="000000"/>
          <w:sz w:val="24"/>
          <w:szCs w:val="24"/>
          <w:lang w:eastAsia="uk-UA"/>
        </w:rPr>
        <w:t xml:space="preserve"> регламентів вмісту нітратів в рослинних продуктах вимагає необхідного методичного забезпечення. Ефективність системи контролю нерозривно пов'язана із забезпеченням контролюючих служб досить чутливими, надійними, селективними і доступними методами аналізу нітратів і нітритів у різних харчових продуктах – і перш за все тих, рівень нітратів в яких нормується.</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lastRenderedPageBreak/>
        <w:t xml:space="preserve">Високочутливі й селективні методи – </w:t>
      </w:r>
      <w:proofErr w:type="spellStart"/>
      <w:r w:rsidRPr="008B2E38">
        <w:rPr>
          <w:rFonts w:ascii="Arial" w:eastAsia="Times New Roman" w:hAnsi="Arial" w:cs="Arial"/>
          <w:color w:val="000000"/>
          <w:sz w:val="24"/>
          <w:szCs w:val="24"/>
          <w:lang w:eastAsia="uk-UA"/>
        </w:rPr>
        <w:t>іонохроматографічні</w:t>
      </w:r>
      <w:proofErr w:type="spellEnd"/>
      <w:r w:rsidRPr="008B2E38">
        <w:rPr>
          <w:rFonts w:ascii="Arial" w:eastAsia="Times New Roman" w:hAnsi="Arial" w:cs="Arial"/>
          <w:color w:val="000000"/>
          <w:sz w:val="24"/>
          <w:szCs w:val="24"/>
          <w:lang w:eastAsia="uk-UA"/>
        </w:rPr>
        <w:t xml:space="preserve"> і хемілюмінесцентний – мають беззаперечні переваги. При цьому слід зазначити, що концентрація нітратів в харчових продуктах змінюється в широкому діапазоні, і це необхідно враховувати при виборі методу.</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Серед різноманіття наявних методів аналізу нітратів і нітритів, враховуючи можливості контролюючих служб, </w:t>
      </w:r>
      <w:r w:rsidRPr="008B2E38">
        <w:rPr>
          <w:rFonts w:ascii="Arial" w:eastAsia="Times New Roman" w:hAnsi="Arial" w:cs="Arial"/>
          <w:b/>
          <w:bCs/>
          <w:color w:val="000000"/>
          <w:sz w:val="24"/>
          <w:szCs w:val="24"/>
          <w:lang w:eastAsia="uk-UA"/>
        </w:rPr>
        <w:t>найбільш прийнятними</w:t>
      </w:r>
      <w:r w:rsidRPr="008B2E38">
        <w:rPr>
          <w:rFonts w:ascii="Arial" w:eastAsia="Times New Roman" w:hAnsi="Arial" w:cs="Arial"/>
          <w:color w:val="000000"/>
          <w:sz w:val="24"/>
          <w:szCs w:val="24"/>
          <w:lang w:eastAsia="uk-UA"/>
        </w:rPr>
        <w:t> для аналізу сполук азоту в харчових продуктах </w:t>
      </w:r>
      <w:r w:rsidRPr="008B2E38">
        <w:rPr>
          <w:rFonts w:ascii="Arial" w:eastAsia="Times New Roman" w:hAnsi="Arial" w:cs="Arial"/>
          <w:b/>
          <w:bCs/>
          <w:color w:val="000000"/>
          <w:sz w:val="24"/>
          <w:szCs w:val="24"/>
          <w:lang w:eastAsia="uk-UA"/>
        </w:rPr>
        <w:t xml:space="preserve">є </w:t>
      </w:r>
      <w:proofErr w:type="spellStart"/>
      <w:r w:rsidRPr="008B2E38">
        <w:rPr>
          <w:rFonts w:ascii="Arial" w:eastAsia="Times New Roman" w:hAnsi="Arial" w:cs="Arial"/>
          <w:b/>
          <w:bCs/>
          <w:color w:val="000000"/>
          <w:sz w:val="24"/>
          <w:szCs w:val="24"/>
          <w:lang w:eastAsia="uk-UA"/>
        </w:rPr>
        <w:t>іонометричний</w:t>
      </w:r>
      <w:proofErr w:type="spellEnd"/>
      <w:r w:rsidRPr="008B2E38">
        <w:rPr>
          <w:rFonts w:ascii="Arial" w:eastAsia="Times New Roman" w:hAnsi="Arial" w:cs="Arial"/>
          <w:b/>
          <w:bCs/>
          <w:color w:val="000000"/>
          <w:sz w:val="24"/>
          <w:szCs w:val="24"/>
          <w:lang w:eastAsia="uk-UA"/>
        </w:rPr>
        <w:t xml:space="preserve"> і спектрофотометричний</w:t>
      </w:r>
      <w:r w:rsidRPr="008B2E38">
        <w:rPr>
          <w:rFonts w:ascii="Arial" w:eastAsia="Times New Roman" w:hAnsi="Arial" w:cs="Arial"/>
          <w:color w:val="000000"/>
          <w:sz w:val="24"/>
          <w:szCs w:val="24"/>
          <w:lang w:eastAsia="uk-UA"/>
        </w:rPr>
        <w:t> методи.</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СПЕКТРОФОТОМЕТРИЧНИЙ МЕТОД</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При спектрофотометричному визначенні одним із найбільш важливих процесів є очищення екстракту від домішок, що заважають визначенню, і отримання прозорого фільтрату. Із реактивів для очищення екстрактів використовують сульфат цинку, </w:t>
      </w:r>
      <w:proofErr w:type="spellStart"/>
      <w:r w:rsidRPr="008B2E38">
        <w:rPr>
          <w:rFonts w:ascii="Arial" w:eastAsia="Times New Roman" w:hAnsi="Arial" w:cs="Arial"/>
          <w:color w:val="000000"/>
          <w:sz w:val="24"/>
          <w:szCs w:val="24"/>
          <w:lang w:eastAsia="uk-UA"/>
        </w:rPr>
        <w:t>залізистосинеродистий</w:t>
      </w:r>
      <w:proofErr w:type="spellEnd"/>
      <w:r w:rsidRPr="008B2E38">
        <w:rPr>
          <w:rFonts w:ascii="Arial" w:eastAsia="Times New Roman" w:hAnsi="Arial" w:cs="Arial"/>
          <w:color w:val="000000"/>
          <w:sz w:val="24"/>
          <w:szCs w:val="24"/>
          <w:lang w:eastAsia="uk-UA"/>
        </w:rPr>
        <w:t xml:space="preserve"> калій і </w:t>
      </w:r>
      <w:proofErr w:type="spellStart"/>
      <w:r w:rsidRPr="008B2E38">
        <w:rPr>
          <w:rFonts w:ascii="Arial" w:eastAsia="Times New Roman" w:hAnsi="Arial" w:cs="Arial"/>
          <w:color w:val="000000"/>
          <w:sz w:val="24"/>
          <w:szCs w:val="24"/>
          <w:lang w:eastAsia="uk-UA"/>
        </w:rPr>
        <w:t>тетраборат</w:t>
      </w:r>
      <w:proofErr w:type="spellEnd"/>
      <w:r w:rsidRPr="008B2E38">
        <w:rPr>
          <w:rFonts w:ascii="Arial" w:eastAsia="Times New Roman" w:hAnsi="Arial" w:cs="Arial"/>
          <w:color w:val="000000"/>
          <w:sz w:val="24"/>
          <w:szCs w:val="24"/>
          <w:lang w:eastAsia="uk-UA"/>
        </w:rPr>
        <w:t xml:space="preserve"> натрію в різних співвідношеннях залежно від виду досліджуваного продукту. У деяких випадках рекомендується додавати також ацетат цинку і гідроксид натрію.</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b/>
          <w:bCs/>
          <w:color w:val="000000"/>
          <w:sz w:val="24"/>
          <w:szCs w:val="24"/>
          <w:lang w:eastAsia="uk-UA"/>
        </w:rPr>
        <w:t>ІОНОМЕТРИЧНИЙ МЕТОД</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При </w:t>
      </w:r>
      <w:proofErr w:type="spellStart"/>
      <w:r w:rsidRPr="008B2E38">
        <w:rPr>
          <w:rFonts w:ascii="Arial" w:eastAsia="Times New Roman" w:hAnsi="Arial" w:cs="Arial"/>
          <w:color w:val="000000"/>
          <w:sz w:val="24"/>
          <w:szCs w:val="24"/>
          <w:lang w:eastAsia="uk-UA"/>
        </w:rPr>
        <w:t>іонометричному</w:t>
      </w:r>
      <w:proofErr w:type="spellEnd"/>
      <w:r w:rsidRPr="008B2E38">
        <w:rPr>
          <w:rFonts w:ascii="Arial" w:eastAsia="Times New Roman" w:hAnsi="Arial" w:cs="Arial"/>
          <w:color w:val="000000"/>
          <w:sz w:val="24"/>
          <w:szCs w:val="24"/>
          <w:lang w:eastAsia="uk-UA"/>
        </w:rPr>
        <w:t xml:space="preserve"> методі визначення важливо після усунення впливу домішок окисленням сумішшю перманганату калію і сірчаної кислоти обробити зразок пероксидом водню, який руйнує надлишок перманганату, – його наявність може змінити потенціал електродної системи.</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При порівнянні двох фотометричних методів із використанням Cd-колонки і методу «сухого відновника», а також </w:t>
      </w:r>
      <w:proofErr w:type="spellStart"/>
      <w:r w:rsidRPr="008B2E38">
        <w:rPr>
          <w:rFonts w:ascii="Arial" w:eastAsia="Times New Roman" w:hAnsi="Arial" w:cs="Arial"/>
          <w:color w:val="000000"/>
          <w:sz w:val="24"/>
          <w:szCs w:val="24"/>
          <w:lang w:eastAsia="uk-UA"/>
        </w:rPr>
        <w:t>іонометричного</w:t>
      </w:r>
      <w:proofErr w:type="spellEnd"/>
      <w:r w:rsidRPr="008B2E38">
        <w:rPr>
          <w:rFonts w:ascii="Arial" w:eastAsia="Times New Roman" w:hAnsi="Arial" w:cs="Arial"/>
          <w:color w:val="000000"/>
          <w:sz w:val="24"/>
          <w:szCs w:val="24"/>
          <w:lang w:eastAsia="uk-UA"/>
        </w:rPr>
        <w:t xml:space="preserve"> методу виявлено, що фотометричний метод відрізняється універсальністю, дає найбільш точні результати як щодо випадкових, так і систематичних похибок в області низьких концентрацій &lt;50 мг/кг продукту.</w:t>
      </w:r>
    </w:p>
    <w:p w:rsidR="008B2E38" w:rsidRPr="008B2E38" w:rsidRDefault="008B2E38" w:rsidP="008B2E38">
      <w:pPr>
        <w:shd w:val="clear" w:color="auto" w:fill="F7F7F7"/>
        <w:spacing w:after="100" w:afterAutospacing="1" w:line="240" w:lineRule="auto"/>
        <w:rPr>
          <w:rFonts w:ascii="Arial" w:eastAsia="Times New Roman" w:hAnsi="Arial" w:cs="Arial"/>
          <w:color w:val="000000"/>
          <w:sz w:val="24"/>
          <w:szCs w:val="24"/>
          <w:lang w:eastAsia="uk-UA"/>
        </w:rPr>
      </w:pPr>
      <w:r w:rsidRPr="008B2E38">
        <w:rPr>
          <w:rFonts w:ascii="Arial" w:eastAsia="Times New Roman" w:hAnsi="Arial" w:cs="Arial"/>
          <w:color w:val="000000"/>
          <w:sz w:val="24"/>
          <w:szCs w:val="24"/>
          <w:lang w:eastAsia="uk-UA"/>
        </w:rPr>
        <w:t xml:space="preserve">У той же час, більш експресний </w:t>
      </w:r>
      <w:proofErr w:type="spellStart"/>
      <w:r w:rsidRPr="008B2E38">
        <w:rPr>
          <w:rFonts w:ascii="Arial" w:eastAsia="Times New Roman" w:hAnsi="Arial" w:cs="Arial"/>
          <w:color w:val="000000"/>
          <w:sz w:val="24"/>
          <w:szCs w:val="24"/>
          <w:lang w:eastAsia="uk-UA"/>
        </w:rPr>
        <w:t>іонометричний</w:t>
      </w:r>
      <w:proofErr w:type="spellEnd"/>
      <w:r w:rsidRPr="008B2E38">
        <w:rPr>
          <w:rFonts w:ascii="Arial" w:eastAsia="Times New Roman" w:hAnsi="Arial" w:cs="Arial"/>
          <w:color w:val="000000"/>
          <w:sz w:val="24"/>
          <w:szCs w:val="24"/>
          <w:lang w:eastAsia="uk-UA"/>
        </w:rPr>
        <w:t xml:space="preserve"> метод ефективний в області середніх і високих концентрацій (100–2000 мг/кг), які становлять найбільший інтерес для контролю безпеки харчових продуктів. Однак при цьому необхідно враховувати обмежені можливості цього методу. Фотометричний метод із застосуванням «сухого відновника» має більш високі значення випадкових похибок, крім того, виявляє завищення результатів при низьких і заниження при високих концентраціях нітратів.</w:t>
      </w:r>
    </w:p>
    <w:tbl>
      <w:tblPr>
        <w:tblW w:w="10488" w:type="dxa"/>
        <w:tblCellSpacing w:w="15" w:type="dxa"/>
        <w:tblCellMar>
          <w:top w:w="15" w:type="dxa"/>
          <w:left w:w="15" w:type="dxa"/>
          <w:bottom w:w="15" w:type="dxa"/>
          <w:right w:w="15" w:type="dxa"/>
        </w:tblCellMar>
        <w:tblLook w:val="04A0" w:firstRow="1" w:lastRow="0" w:firstColumn="1" w:lastColumn="0" w:noHBand="0" w:noVBand="1"/>
      </w:tblPr>
      <w:tblGrid>
        <w:gridCol w:w="10488"/>
      </w:tblGrid>
      <w:tr w:rsidR="00C87A99" w:rsidRPr="00C623C3" w:rsidTr="003B50AD">
        <w:trPr>
          <w:tblCellSpacing w:w="15" w:type="dxa"/>
        </w:trPr>
        <w:tc>
          <w:tcPr>
            <w:tcW w:w="0" w:type="auto"/>
            <w:hideMark/>
          </w:tcPr>
          <w:p w:rsidR="00C87A99" w:rsidRPr="00C87A99" w:rsidRDefault="00C87A99" w:rsidP="003B50AD">
            <w:pPr>
              <w:spacing w:before="100" w:beforeAutospacing="1" w:after="100" w:afterAutospacing="1" w:line="240" w:lineRule="auto"/>
              <w:jc w:val="both"/>
              <w:rPr>
                <w:rFonts w:ascii="Arial" w:eastAsia="Times New Roman" w:hAnsi="Arial" w:cs="Arial"/>
                <w:color w:val="373D3F"/>
                <w:lang w:eastAsia="uk-UA"/>
              </w:rPr>
            </w:pPr>
            <w:r w:rsidRPr="00C87A99">
              <w:rPr>
                <w:rFonts w:ascii="Arial" w:eastAsia="Times New Roman" w:hAnsi="Arial" w:cs="Arial"/>
                <w:color w:val="373D3F"/>
                <w:lang w:eastAsia="uk-UA"/>
              </w:rPr>
              <w:t xml:space="preserve">Проблема контролю надмірного вмісту нітратів в продуктах харчування хвилює багатьох із нас. Існують різноманітні прилади за допомогою яких можна визначити у відсотках вміст нітратів в овочах і фруктах. Більшість з них коштують досить дорого, мають складну будову і використовуються лише в спеціалізованих лабораторіях. Зокрема до них відносять </w:t>
            </w:r>
            <w:proofErr w:type="spellStart"/>
            <w:r w:rsidRPr="00C87A99">
              <w:rPr>
                <w:rFonts w:ascii="Arial" w:eastAsia="Times New Roman" w:hAnsi="Arial" w:cs="Arial"/>
                <w:color w:val="373D3F"/>
                <w:lang w:eastAsia="uk-UA"/>
              </w:rPr>
              <w:t>нітратоміри</w:t>
            </w:r>
            <w:proofErr w:type="spellEnd"/>
            <w:r w:rsidRPr="00C87A99">
              <w:rPr>
                <w:rFonts w:ascii="Arial" w:eastAsia="Times New Roman" w:hAnsi="Arial" w:cs="Arial"/>
                <w:color w:val="373D3F"/>
                <w:lang w:eastAsia="uk-UA"/>
              </w:rPr>
              <w:t>, що побудовані на базі іонометрів. Але для побутових потреб сконструйовані більш прості прилади для контролю рівня нітратів. Це, насамперед, індикатори нітратів (рис. 9.1) або нітрат-тестери (рис. 9.2). Вони не визначають точний вміст нітратів, а, здебільшого, порівнюють їх вміст з еталонними показниками. Такі прилади можна придбати</w:t>
            </w:r>
          </w:p>
          <w:p w:rsidR="00C87A99" w:rsidRPr="00C87A99" w:rsidRDefault="00C87A99" w:rsidP="003B50AD">
            <w:pPr>
              <w:spacing w:before="100" w:beforeAutospacing="1" w:after="100" w:afterAutospacing="1" w:line="240" w:lineRule="auto"/>
              <w:jc w:val="both"/>
              <w:rPr>
                <w:rFonts w:ascii="Arial" w:eastAsia="Times New Roman" w:hAnsi="Arial" w:cs="Arial"/>
                <w:color w:val="373D3F"/>
                <w:lang w:eastAsia="uk-UA"/>
              </w:rPr>
            </w:pPr>
            <w:r w:rsidRPr="00C87A99">
              <w:rPr>
                <w:rFonts w:ascii="Arial" w:eastAsia="Times New Roman" w:hAnsi="Arial" w:cs="Arial"/>
                <w:color w:val="373D3F"/>
                <w:lang w:eastAsia="uk-UA"/>
              </w:rPr>
              <w:t>в спеціалізованих магазинах або сконструювати самостійно. Принцип дії таких приладів ґрунтується на вимірювання електропровідності субстанції овочів або фруктів при зануренні в неї двох електродів. Питома електропровідність залежить від виду овочів, їх зрілості, сорту. Кожен вид овочів має свою електропровідність. Сорт та зрілість мало впливають на неї.</w:t>
            </w:r>
          </w:p>
          <w:p w:rsidR="00C87A99" w:rsidRPr="00C87A99" w:rsidRDefault="00C87A99" w:rsidP="003B50AD">
            <w:pPr>
              <w:spacing w:before="100" w:beforeAutospacing="1" w:after="100" w:afterAutospacing="1" w:line="240" w:lineRule="auto"/>
              <w:jc w:val="both"/>
              <w:rPr>
                <w:rFonts w:ascii="Arial" w:eastAsia="Times New Roman" w:hAnsi="Arial" w:cs="Arial"/>
                <w:color w:val="373D3F"/>
                <w:lang w:eastAsia="uk-UA"/>
              </w:rPr>
            </w:pPr>
            <w:r w:rsidRPr="00C87A99">
              <w:rPr>
                <w:rFonts w:ascii="Arial" w:eastAsia="Times New Roman" w:hAnsi="Arial" w:cs="Arial"/>
                <w:noProof/>
                <w:color w:val="373D3F"/>
                <w:lang w:eastAsia="uk-UA"/>
              </w:rPr>
              <w:lastRenderedPageBreak/>
              <w:drawing>
                <wp:inline distT="0" distB="0" distL="0" distR="0" wp14:anchorId="3CAB14FD" wp14:editId="0A510701">
                  <wp:extent cx="3037205" cy="2685415"/>
                  <wp:effectExtent l="0" t="0" r="0" b="635"/>
                  <wp:docPr id="2" name="Рисунок 2" descr="https://pidru4niki.com/imag/bgd/atam_oop/image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idru4niki.com/imag/bgd/atam_oop/image02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37205" cy="2685415"/>
                          </a:xfrm>
                          <a:prstGeom prst="rect">
                            <a:avLst/>
                          </a:prstGeom>
                          <a:noFill/>
                          <a:ln>
                            <a:noFill/>
                          </a:ln>
                        </pic:spPr>
                      </pic:pic>
                    </a:graphicData>
                  </a:graphic>
                </wp:inline>
              </w:drawing>
            </w:r>
            <w:r w:rsidRPr="00C87A99">
              <w:rPr>
                <w:rFonts w:ascii="Arial" w:eastAsia="Times New Roman" w:hAnsi="Arial" w:cs="Arial"/>
                <w:noProof/>
                <w:color w:val="373D3F"/>
                <w:lang w:eastAsia="uk-UA"/>
              </w:rPr>
              <w:drawing>
                <wp:inline distT="0" distB="0" distL="0" distR="0" wp14:anchorId="618663B7" wp14:editId="7BAC3FB7">
                  <wp:extent cx="1303020" cy="2533015"/>
                  <wp:effectExtent l="0" t="0" r="0" b="635"/>
                  <wp:docPr id="1" name="Рисунок 1" descr="https://pidru4niki.com/imag/bgd/atam_oop/image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idru4niki.com/imag/bgd/atam_oop/image02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3020" cy="2533015"/>
                          </a:xfrm>
                          <a:prstGeom prst="rect">
                            <a:avLst/>
                          </a:prstGeom>
                          <a:noFill/>
                          <a:ln>
                            <a:noFill/>
                          </a:ln>
                        </pic:spPr>
                      </pic:pic>
                    </a:graphicData>
                  </a:graphic>
                </wp:inline>
              </w:drawing>
            </w:r>
            <w:bookmarkStart w:id="0" w:name="_GoBack"/>
            <w:bookmarkEnd w:id="0"/>
          </w:p>
          <w:p w:rsidR="00C87A99" w:rsidRPr="00C87A99" w:rsidRDefault="00C87A99" w:rsidP="003B50AD">
            <w:pPr>
              <w:spacing w:before="100" w:beforeAutospacing="1" w:after="100" w:afterAutospacing="1" w:line="240" w:lineRule="auto"/>
              <w:jc w:val="both"/>
              <w:rPr>
                <w:rFonts w:ascii="Arial" w:eastAsia="Times New Roman" w:hAnsi="Arial" w:cs="Arial"/>
                <w:color w:val="373D3F"/>
                <w:lang w:eastAsia="uk-UA"/>
              </w:rPr>
            </w:pPr>
            <w:r w:rsidRPr="00C87A99">
              <w:rPr>
                <w:rFonts w:ascii="Arial" w:eastAsia="Times New Roman" w:hAnsi="Arial" w:cs="Arial"/>
                <w:color w:val="373D3F"/>
                <w:lang w:eastAsia="uk-UA"/>
              </w:rPr>
              <w:t>А от надмірна кількість нітратів значно її збільшує, що й виявляє прилад. Якщо зберігати геометричні та фізичні параметри вимірювань (що враховано в конструкції нітрат-тестерів) незмінними, то результати вимірювань будуть пропорційними питомій електропровідності.</w:t>
            </w:r>
          </w:p>
          <w:p w:rsidR="00C87A99" w:rsidRPr="00C87A99" w:rsidRDefault="00C87A99" w:rsidP="003B50AD">
            <w:pPr>
              <w:spacing w:before="100" w:beforeAutospacing="1" w:after="100" w:afterAutospacing="1" w:line="240" w:lineRule="auto"/>
              <w:jc w:val="both"/>
              <w:rPr>
                <w:rFonts w:ascii="Arial" w:eastAsia="Times New Roman" w:hAnsi="Arial" w:cs="Arial"/>
                <w:color w:val="373D3F"/>
                <w:lang w:eastAsia="uk-UA"/>
              </w:rPr>
            </w:pPr>
            <w:r w:rsidRPr="00C87A99">
              <w:rPr>
                <w:rFonts w:ascii="Arial" w:eastAsia="Times New Roman" w:hAnsi="Arial" w:cs="Arial"/>
                <w:color w:val="373D3F"/>
                <w:lang w:eastAsia="uk-UA"/>
              </w:rPr>
              <w:t xml:space="preserve">Під час використання нітрат-тестерів або індикаторів нітратів необхідно дотримуватись найпростіших порад. Перш за все треба зрозуміти, як </w:t>
            </w:r>
            <w:proofErr w:type="spellStart"/>
            <w:r w:rsidRPr="00C87A99">
              <w:rPr>
                <w:rFonts w:ascii="Arial" w:eastAsia="Times New Roman" w:hAnsi="Arial" w:cs="Arial"/>
                <w:color w:val="373D3F"/>
                <w:lang w:eastAsia="uk-UA"/>
              </w:rPr>
              <w:t>пов'</w:t>
            </w:r>
            <w:proofErr w:type="spellEnd"/>
            <w:r w:rsidRPr="00C87A99">
              <w:rPr>
                <w:rFonts w:ascii="Arial" w:eastAsia="Times New Roman" w:hAnsi="Arial" w:cs="Arial"/>
                <w:color w:val="373D3F"/>
                <w:lang w:eastAsia="uk-UA"/>
              </w:rPr>
              <w:t xml:space="preserve"> </w:t>
            </w:r>
            <w:proofErr w:type="spellStart"/>
            <w:r w:rsidRPr="00C87A99">
              <w:rPr>
                <w:rFonts w:ascii="Arial" w:eastAsia="Times New Roman" w:hAnsi="Arial" w:cs="Arial"/>
                <w:color w:val="373D3F"/>
                <w:lang w:eastAsia="uk-UA"/>
              </w:rPr>
              <w:t>язати</w:t>
            </w:r>
            <w:proofErr w:type="spellEnd"/>
            <w:r w:rsidRPr="00C87A99">
              <w:rPr>
                <w:rFonts w:ascii="Arial" w:eastAsia="Times New Roman" w:hAnsi="Arial" w:cs="Arial"/>
                <w:color w:val="373D3F"/>
                <w:lang w:eastAsia="uk-UA"/>
              </w:rPr>
              <w:t xml:space="preserve"> покази приладу з кількістю нітратів. Покази приладу ніяк не означають відсотків. Це якісь умовні одиниці (</w:t>
            </w:r>
            <w:proofErr w:type="spellStart"/>
            <w:r w:rsidRPr="00C87A99">
              <w:rPr>
                <w:rFonts w:ascii="Arial" w:eastAsia="Times New Roman" w:hAnsi="Arial" w:cs="Arial"/>
                <w:color w:val="373D3F"/>
                <w:lang w:eastAsia="uk-UA"/>
              </w:rPr>
              <w:t>у.о</w:t>
            </w:r>
            <w:proofErr w:type="spellEnd"/>
            <w:r w:rsidRPr="00C87A99">
              <w:rPr>
                <w:rFonts w:ascii="Arial" w:eastAsia="Times New Roman" w:hAnsi="Arial" w:cs="Arial"/>
                <w:color w:val="373D3F"/>
                <w:lang w:eastAsia="uk-UA"/>
              </w:rPr>
              <w:t>). Більше того, якщо при двох вимірах ви одержали результати 2 і 4, то різниця між ними в кількості нітратів буде не в два рази, а в три. А між показаннями 4 і 8 різниця вже буде разів а шість. Тому не слід намагатись за показами приладу оцінити кількість нітратів у відсотках. Обґрунтованими можуть бути лише оцінки "менше" та "більше".</w:t>
            </w:r>
          </w:p>
          <w:p w:rsidR="00C87A99" w:rsidRPr="00C87A99" w:rsidRDefault="00C87A99" w:rsidP="003B50AD">
            <w:pPr>
              <w:spacing w:before="100" w:beforeAutospacing="1" w:after="100" w:afterAutospacing="1" w:line="240" w:lineRule="auto"/>
              <w:jc w:val="both"/>
              <w:rPr>
                <w:rFonts w:ascii="Arial" w:eastAsia="Times New Roman" w:hAnsi="Arial" w:cs="Arial"/>
                <w:color w:val="373D3F"/>
                <w:lang w:eastAsia="uk-UA"/>
              </w:rPr>
            </w:pPr>
            <w:r w:rsidRPr="00C87A99">
              <w:rPr>
                <w:rFonts w:ascii="Arial" w:eastAsia="Times New Roman" w:hAnsi="Arial" w:cs="Arial"/>
                <w:color w:val="373D3F"/>
                <w:lang w:eastAsia="uk-UA"/>
              </w:rPr>
              <w:t xml:space="preserve">Не завжди нітрати розміщені в овочі рівномірно, і якщо перше вимірювання показало малу кількість нітратів, </w:t>
            </w:r>
            <w:proofErr w:type="spellStart"/>
            <w:r w:rsidRPr="00C87A99">
              <w:rPr>
                <w:rFonts w:ascii="Arial" w:eastAsia="Times New Roman" w:hAnsi="Arial" w:cs="Arial"/>
                <w:color w:val="373D3F"/>
                <w:lang w:eastAsia="uk-UA"/>
              </w:rPr>
              <w:t>обов'</w:t>
            </w:r>
            <w:proofErr w:type="spellEnd"/>
            <w:r w:rsidRPr="00C87A99">
              <w:rPr>
                <w:rFonts w:ascii="Arial" w:eastAsia="Times New Roman" w:hAnsi="Arial" w:cs="Arial"/>
                <w:color w:val="373D3F"/>
                <w:lang w:eastAsia="uk-UA"/>
              </w:rPr>
              <w:t xml:space="preserve"> </w:t>
            </w:r>
            <w:proofErr w:type="spellStart"/>
            <w:r w:rsidRPr="00C87A99">
              <w:rPr>
                <w:rFonts w:ascii="Arial" w:eastAsia="Times New Roman" w:hAnsi="Arial" w:cs="Arial"/>
                <w:color w:val="373D3F"/>
                <w:lang w:eastAsia="uk-UA"/>
              </w:rPr>
              <w:t>язково</w:t>
            </w:r>
            <w:proofErr w:type="spellEnd"/>
            <w:r w:rsidRPr="00C87A99">
              <w:rPr>
                <w:rFonts w:ascii="Arial" w:eastAsia="Times New Roman" w:hAnsi="Arial" w:cs="Arial"/>
                <w:color w:val="373D3F"/>
                <w:lang w:eastAsia="uk-UA"/>
              </w:rPr>
              <w:t xml:space="preserve"> проткніть овоч ще два-три рази в різних місцях. Якщо хоч в одному випадку прилад покаже велику кількість нітратів, то цьому показанню і потрібно вірити. Якщо поміряти "хороші" помідори через тиждень. То прилад покаже значно більше нітратів, ніж показував на початку. Прилад показує велику електропровідність не лише при великій кількості нітратів, а й при зіпсованому овочі ще тоді, коли зовнішні ознаки зіпсованості відсутні. Це не є вадою приладу. </w:t>
            </w:r>
            <w:proofErr w:type="spellStart"/>
            <w:r w:rsidRPr="00C87A99">
              <w:rPr>
                <w:rFonts w:ascii="Arial" w:eastAsia="Times New Roman" w:hAnsi="Arial" w:cs="Arial"/>
                <w:color w:val="373D3F"/>
                <w:lang w:eastAsia="uk-UA"/>
              </w:rPr>
              <w:t>Напівзіпсовані</w:t>
            </w:r>
            <w:proofErr w:type="spellEnd"/>
            <w:r w:rsidRPr="00C87A99">
              <w:rPr>
                <w:rFonts w:ascii="Arial" w:eastAsia="Times New Roman" w:hAnsi="Arial" w:cs="Arial"/>
                <w:color w:val="373D3F"/>
                <w:lang w:eastAsia="uk-UA"/>
              </w:rPr>
              <w:t xml:space="preserve"> овочі Ви, мабуть, також не захоче вживати, як і "нітратні".</w:t>
            </w:r>
          </w:p>
          <w:p w:rsidR="00C87A99" w:rsidRPr="00C87A99" w:rsidRDefault="00C87A99" w:rsidP="003B50AD">
            <w:pPr>
              <w:spacing w:after="100" w:afterAutospacing="1" w:line="240" w:lineRule="auto"/>
              <w:jc w:val="center"/>
              <w:outlineLvl w:val="1"/>
              <w:rPr>
                <w:rFonts w:ascii="Arial" w:eastAsia="Times New Roman" w:hAnsi="Arial" w:cs="Arial"/>
                <w:b/>
                <w:bCs/>
                <w:color w:val="000000"/>
                <w:lang w:eastAsia="uk-UA"/>
              </w:rPr>
            </w:pPr>
            <w:r w:rsidRPr="00C87A99">
              <w:rPr>
                <w:rFonts w:ascii="Arial" w:eastAsia="Times New Roman" w:hAnsi="Arial" w:cs="Arial"/>
                <w:b/>
                <w:bCs/>
                <w:color w:val="000000"/>
                <w:lang w:eastAsia="uk-UA"/>
              </w:rPr>
              <w:t>ІV. Технологія і техніка виконання експериментів</w:t>
            </w:r>
          </w:p>
          <w:p w:rsidR="00C87A99" w:rsidRPr="00C87A99" w:rsidRDefault="00C87A99" w:rsidP="00C87A99">
            <w:pPr>
              <w:numPr>
                <w:ilvl w:val="0"/>
                <w:numId w:val="16"/>
              </w:numPr>
              <w:spacing w:before="100" w:beforeAutospacing="1" w:after="100" w:afterAutospacing="1" w:line="240" w:lineRule="auto"/>
              <w:jc w:val="both"/>
              <w:rPr>
                <w:rFonts w:ascii="Arial" w:eastAsia="Times New Roman" w:hAnsi="Arial" w:cs="Arial"/>
                <w:color w:val="242424"/>
                <w:lang w:eastAsia="uk-UA"/>
              </w:rPr>
            </w:pPr>
            <w:r w:rsidRPr="00C87A99">
              <w:rPr>
                <w:rFonts w:ascii="Arial" w:eastAsia="Times New Roman" w:hAnsi="Arial" w:cs="Arial"/>
                <w:color w:val="242424"/>
                <w:lang w:eastAsia="uk-UA"/>
              </w:rPr>
              <w:t xml:space="preserve">1. Ознайомитись з основними поняттями, які </w:t>
            </w:r>
            <w:proofErr w:type="spellStart"/>
            <w:r w:rsidRPr="00C87A99">
              <w:rPr>
                <w:rFonts w:ascii="Arial" w:eastAsia="Times New Roman" w:hAnsi="Arial" w:cs="Arial"/>
                <w:color w:val="242424"/>
                <w:lang w:eastAsia="uk-UA"/>
              </w:rPr>
              <w:t>пов'</w:t>
            </w:r>
            <w:proofErr w:type="spellEnd"/>
            <w:r w:rsidRPr="00C87A99">
              <w:rPr>
                <w:rFonts w:ascii="Arial" w:eastAsia="Times New Roman" w:hAnsi="Arial" w:cs="Arial"/>
                <w:color w:val="242424"/>
                <w:lang w:eastAsia="uk-UA"/>
              </w:rPr>
              <w:t xml:space="preserve"> </w:t>
            </w:r>
            <w:proofErr w:type="spellStart"/>
            <w:r w:rsidRPr="00C87A99">
              <w:rPr>
                <w:rFonts w:ascii="Arial" w:eastAsia="Times New Roman" w:hAnsi="Arial" w:cs="Arial"/>
                <w:color w:val="242424"/>
                <w:lang w:eastAsia="uk-UA"/>
              </w:rPr>
              <w:t>язані</w:t>
            </w:r>
            <w:proofErr w:type="spellEnd"/>
            <w:r w:rsidRPr="00C87A99">
              <w:rPr>
                <w:rFonts w:ascii="Arial" w:eastAsia="Times New Roman" w:hAnsi="Arial" w:cs="Arial"/>
                <w:color w:val="242424"/>
                <w:lang w:eastAsia="uk-UA"/>
              </w:rPr>
              <w:t xml:space="preserve"> з проблемою впливу нітратів та нітритів на організм людини та вивчити способи оцінки вмісту нітратів в продуктах харчування.</w:t>
            </w:r>
          </w:p>
          <w:p w:rsidR="00C87A99" w:rsidRPr="00C87A99" w:rsidRDefault="00C87A99" w:rsidP="00C87A99">
            <w:pPr>
              <w:numPr>
                <w:ilvl w:val="0"/>
                <w:numId w:val="16"/>
              </w:numPr>
              <w:spacing w:before="100" w:beforeAutospacing="1" w:after="100" w:afterAutospacing="1" w:line="240" w:lineRule="auto"/>
              <w:jc w:val="both"/>
              <w:rPr>
                <w:rFonts w:ascii="Arial" w:eastAsia="Times New Roman" w:hAnsi="Arial" w:cs="Arial"/>
                <w:color w:val="242424"/>
                <w:lang w:eastAsia="uk-UA"/>
              </w:rPr>
            </w:pPr>
            <w:r w:rsidRPr="00C87A99">
              <w:rPr>
                <w:rFonts w:ascii="Arial" w:eastAsia="Times New Roman" w:hAnsi="Arial" w:cs="Arial"/>
                <w:color w:val="242424"/>
                <w:lang w:eastAsia="uk-UA"/>
              </w:rPr>
              <w:t>2. Ознайомитись з принципом роботи приладів для вимірювання вмісту нітратів у продуктах харчування.</w:t>
            </w:r>
          </w:p>
          <w:p w:rsidR="00C87A99" w:rsidRPr="00C87A99" w:rsidRDefault="00C87A99" w:rsidP="00C87A99">
            <w:pPr>
              <w:numPr>
                <w:ilvl w:val="0"/>
                <w:numId w:val="16"/>
              </w:numPr>
              <w:spacing w:before="100" w:beforeAutospacing="1" w:after="100" w:afterAutospacing="1" w:line="240" w:lineRule="auto"/>
              <w:jc w:val="both"/>
              <w:rPr>
                <w:rFonts w:ascii="Arial" w:eastAsia="Times New Roman" w:hAnsi="Arial" w:cs="Arial"/>
                <w:color w:val="242424"/>
                <w:lang w:eastAsia="uk-UA"/>
              </w:rPr>
            </w:pPr>
            <w:r w:rsidRPr="00C87A99">
              <w:rPr>
                <w:rFonts w:ascii="Arial" w:eastAsia="Times New Roman" w:hAnsi="Arial" w:cs="Arial"/>
                <w:color w:val="242424"/>
                <w:lang w:eastAsia="uk-UA"/>
              </w:rPr>
              <w:t>3. Використовуючи нітрат-тестер визначити рівень нітратів у запропонованих продуктах харчування. Для цього за допомогою штепсельної вилки увімкнути прилад в електричну мережу. Включити перемикач, що знаходиться на передній панелі приладу. Щуп з голчастими електродами повністю занурити в тіло овочу (фрукту).</w:t>
            </w:r>
          </w:p>
          <w:p w:rsidR="00C87A99" w:rsidRPr="00C87A99" w:rsidRDefault="00C87A99" w:rsidP="00C87A99">
            <w:pPr>
              <w:numPr>
                <w:ilvl w:val="0"/>
                <w:numId w:val="16"/>
              </w:numPr>
              <w:spacing w:before="100" w:beforeAutospacing="1" w:after="100" w:afterAutospacing="1" w:line="240" w:lineRule="auto"/>
              <w:jc w:val="both"/>
              <w:rPr>
                <w:rFonts w:ascii="Arial" w:eastAsia="Times New Roman" w:hAnsi="Arial" w:cs="Arial"/>
                <w:color w:val="242424"/>
                <w:lang w:eastAsia="uk-UA"/>
              </w:rPr>
            </w:pPr>
            <w:r w:rsidRPr="00C87A99">
              <w:rPr>
                <w:rFonts w:ascii="Arial" w:eastAsia="Times New Roman" w:hAnsi="Arial" w:cs="Arial"/>
                <w:color w:val="242424"/>
                <w:lang w:eastAsia="uk-UA"/>
              </w:rPr>
              <w:t>4. Занести одержані результати до протоколу дослідів (таблиця 9.1) і порівняти їх з прийнятними нормами та зробити висновок.</w:t>
            </w:r>
          </w:p>
          <w:p w:rsidR="00C87A99" w:rsidRPr="00C87A99" w:rsidRDefault="00C87A99" w:rsidP="003B50AD">
            <w:pPr>
              <w:spacing w:before="100" w:beforeAutospacing="1" w:after="100" w:afterAutospacing="1" w:line="240" w:lineRule="auto"/>
              <w:jc w:val="both"/>
              <w:rPr>
                <w:rFonts w:ascii="Arial" w:eastAsia="Times New Roman" w:hAnsi="Arial" w:cs="Arial"/>
                <w:color w:val="373D3F"/>
                <w:lang w:eastAsia="uk-UA"/>
              </w:rPr>
            </w:pPr>
            <w:r w:rsidRPr="00C87A99">
              <w:rPr>
                <w:rFonts w:ascii="Arial" w:eastAsia="Times New Roman" w:hAnsi="Arial" w:cs="Arial"/>
                <w:color w:val="373D3F"/>
                <w:lang w:eastAsia="uk-UA"/>
              </w:rPr>
              <w:t>Таблиця 9.1</w:t>
            </w:r>
          </w:p>
          <w:p w:rsidR="00C87A99" w:rsidRPr="00C87A99" w:rsidRDefault="00C87A99" w:rsidP="003B50AD">
            <w:pPr>
              <w:spacing w:before="100" w:beforeAutospacing="1" w:after="100" w:afterAutospacing="1" w:line="240" w:lineRule="auto"/>
              <w:jc w:val="both"/>
              <w:rPr>
                <w:rFonts w:ascii="Arial" w:eastAsia="Times New Roman" w:hAnsi="Arial" w:cs="Arial"/>
                <w:color w:val="373D3F"/>
                <w:lang w:eastAsia="uk-UA"/>
              </w:rPr>
            </w:pPr>
            <w:r w:rsidRPr="00C87A99">
              <w:rPr>
                <w:rFonts w:ascii="Arial" w:eastAsia="Times New Roman" w:hAnsi="Arial" w:cs="Arial"/>
                <w:color w:val="373D3F"/>
                <w:lang w:eastAsia="uk-UA"/>
              </w:rPr>
              <w:t>ПРОТОКОЛ ДОСЛІДІВ</w:t>
            </w:r>
          </w:p>
          <w:tbl>
            <w:tblPr>
              <w:tblW w:w="0" w:type="auto"/>
              <w:tblCellMar>
                <w:top w:w="15" w:type="dxa"/>
                <w:left w:w="15" w:type="dxa"/>
                <w:bottom w:w="15" w:type="dxa"/>
                <w:right w:w="15" w:type="dxa"/>
              </w:tblCellMar>
              <w:tblLook w:val="04A0" w:firstRow="1" w:lastRow="0" w:firstColumn="1" w:lastColumn="0" w:noHBand="0" w:noVBand="1"/>
            </w:tblPr>
            <w:tblGrid>
              <w:gridCol w:w="827"/>
              <w:gridCol w:w="2602"/>
              <w:gridCol w:w="4694"/>
              <w:gridCol w:w="2259"/>
            </w:tblGrid>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 xml:space="preserve">№ </w:t>
                  </w:r>
                  <w:r w:rsidRPr="00C623C3">
                    <w:rPr>
                      <w:rFonts w:ascii="Times New Roman" w:eastAsia="Times New Roman" w:hAnsi="Times New Roman" w:cs="Times New Roman"/>
                      <w:sz w:val="24"/>
                      <w:szCs w:val="24"/>
                      <w:lang w:eastAsia="uk-UA"/>
                    </w:rPr>
                    <w:lastRenderedPageBreak/>
                    <w:t>з/п</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lastRenderedPageBreak/>
                    <w:t xml:space="preserve">Назва овочів або </w:t>
                  </w:r>
                  <w:r w:rsidRPr="00C623C3">
                    <w:rPr>
                      <w:rFonts w:ascii="Times New Roman" w:eastAsia="Times New Roman" w:hAnsi="Times New Roman" w:cs="Times New Roman"/>
                      <w:sz w:val="24"/>
                      <w:szCs w:val="24"/>
                      <w:lang w:eastAsia="uk-UA"/>
                    </w:rPr>
                    <w:lastRenderedPageBreak/>
                    <w:t>фруктів</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lastRenderedPageBreak/>
                    <w:t xml:space="preserve">Прийнятний вміст нітратів (в умовних </w:t>
                  </w:r>
                  <w:r w:rsidRPr="00C623C3">
                    <w:rPr>
                      <w:rFonts w:ascii="Times New Roman" w:eastAsia="Times New Roman" w:hAnsi="Times New Roman" w:cs="Times New Roman"/>
                      <w:sz w:val="24"/>
                      <w:szCs w:val="24"/>
                      <w:lang w:eastAsia="uk-UA"/>
                    </w:rPr>
                    <w:lastRenderedPageBreak/>
                    <w:t>одиницях)</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lastRenderedPageBreak/>
                    <w:t xml:space="preserve">Фактично </w:t>
                  </w:r>
                  <w:r w:rsidRPr="00C623C3">
                    <w:rPr>
                      <w:rFonts w:ascii="Times New Roman" w:eastAsia="Times New Roman" w:hAnsi="Times New Roman" w:cs="Times New Roman"/>
                      <w:sz w:val="24"/>
                      <w:szCs w:val="24"/>
                      <w:lang w:eastAsia="uk-UA"/>
                    </w:rPr>
                    <w:lastRenderedPageBreak/>
                    <w:t>виміряний</w:t>
                  </w: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lastRenderedPageBreak/>
                    <w:t>1</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Картопля</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18</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2</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Яблуко</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14</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Груша</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4</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Банан</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18</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5</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Апельсин</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18</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6</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Мандарин</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17</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7</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Огірок</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19</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8</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Помідор</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17,5</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9</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Буряк</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17,5</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10</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Капуста</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13</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11</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Ківі</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16</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12</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Кавун</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20</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Цибуля</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18,5</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14</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Морква</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18</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15</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Перець</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16</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16</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Баклажан</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16,5</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17</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Кабачок</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18</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18</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Гарбуз</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16</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19</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Диня</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15,5</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20</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Слива</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12</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21</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Персик</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14,5</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22</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Абрикос</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15</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23</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Виноград</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20</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24</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Полуниця</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18</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lastRenderedPageBreak/>
                    <w:t>25</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Хурма</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17</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26</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Лимон</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15</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r w:rsidR="00C87A99" w:rsidRPr="00C623C3" w:rsidTr="003B50AD">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27</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Гранат</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before="100" w:beforeAutospacing="1" w:after="100" w:afterAutospacing="1" w:line="240" w:lineRule="auto"/>
                    <w:jc w:val="both"/>
                    <w:rPr>
                      <w:rFonts w:ascii="Times New Roman" w:eastAsia="Times New Roman" w:hAnsi="Times New Roman" w:cs="Times New Roman"/>
                      <w:sz w:val="24"/>
                      <w:szCs w:val="24"/>
                      <w:lang w:eastAsia="uk-UA"/>
                    </w:rPr>
                  </w:pPr>
                  <w:r w:rsidRPr="00C623C3">
                    <w:rPr>
                      <w:rFonts w:ascii="Times New Roman" w:eastAsia="Times New Roman" w:hAnsi="Times New Roman" w:cs="Times New Roman"/>
                      <w:sz w:val="24"/>
                      <w:szCs w:val="24"/>
                      <w:lang w:eastAsia="uk-UA"/>
                    </w:rPr>
                    <w:t>16,5</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C87A99" w:rsidRPr="00C623C3" w:rsidRDefault="00C87A99" w:rsidP="003B50AD">
                  <w:pPr>
                    <w:spacing w:after="0" w:line="240" w:lineRule="auto"/>
                    <w:rPr>
                      <w:rFonts w:ascii="Times New Roman" w:eastAsia="Times New Roman" w:hAnsi="Times New Roman" w:cs="Times New Roman"/>
                      <w:sz w:val="24"/>
                      <w:szCs w:val="24"/>
                      <w:lang w:eastAsia="uk-UA"/>
                    </w:rPr>
                  </w:pPr>
                </w:p>
              </w:tc>
            </w:tr>
          </w:tbl>
          <w:p w:rsidR="00C87A99" w:rsidRPr="00C623C3" w:rsidRDefault="00C87A99" w:rsidP="003B50AD">
            <w:pPr>
              <w:spacing w:after="0" w:line="240" w:lineRule="auto"/>
              <w:rPr>
                <w:rFonts w:ascii="Arial" w:eastAsia="Times New Roman" w:hAnsi="Arial" w:cs="Arial"/>
                <w:color w:val="373D3F"/>
                <w:sz w:val="27"/>
                <w:szCs w:val="27"/>
                <w:lang w:eastAsia="uk-UA"/>
              </w:rPr>
            </w:pPr>
          </w:p>
        </w:tc>
      </w:tr>
    </w:tbl>
    <w:p w:rsidR="00BA799A" w:rsidRDefault="00BA799A"/>
    <w:sectPr w:rsidR="00BA799A" w:rsidSect="00100186">
      <w:pgSz w:w="11906" w:h="16838"/>
      <w:pgMar w:top="850" w:right="140" w:bottom="85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D3FE0"/>
    <w:multiLevelType w:val="multilevel"/>
    <w:tmpl w:val="8FE4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CC6E18"/>
    <w:multiLevelType w:val="multilevel"/>
    <w:tmpl w:val="A18C0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7E02D7"/>
    <w:multiLevelType w:val="multilevel"/>
    <w:tmpl w:val="61B6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DA390C"/>
    <w:multiLevelType w:val="multilevel"/>
    <w:tmpl w:val="786E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AE1C8B"/>
    <w:multiLevelType w:val="multilevel"/>
    <w:tmpl w:val="7936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435EC7"/>
    <w:multiLevelType w:val="multilevel"/>
    <w:tmpl w:val="662E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8F5E4C"/>
    <w:multiLevelType w:val="multilevel"/>
    <w:tmpl w:val="B06E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3066C1"/>
    <w:multiLevelType w:val="multilevel"/>
    <w:tmpl w:val="987AE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EC34A6"/>
    <w:multiLevelType w:val="multilevel"/>
    <w:tmpl w:val="EB7C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9E0BBE"/>
    <w:multiLevelType w:val="multilevel"/>
    <w:tmpl w:val="4026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D022C7"/>
    <w:multiLevelType w:val="multilevel"/>
    <w:tmpl w:val="EE34F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4D4150"/>
    <w:multiLevelType w:val="multilevel"/>
    <w:tmpl w:val="9A94B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07E0200"/>
    <w:multiLevelType w:val="multilevel"/>
    <w:tmpl w:val="F2B8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2B2120B"/>
    <w:multiLevelType w:val="multilevel"/>
    <w:tmpl w:val="A9B28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FD0F2F"/>
    <w:multiLevelType w:val="multilevel"/>
    <w:tmpl w:val="6EC26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DF62D75"/>
    <w:multiLevelType w:val="multilevel"/>
    <w:tmpl w:val="2D30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6"/>
  </w:num>
  <w:num w:numId="4">
    <w:abstractNumId w:val="3"/>
  </w:num>
  <w:num w:numId="5">
    <w:abstractNumId w:val="4"/>
  </w:num>
  <w:num w:numId="6">
    <w:abstractNumId w:val="7"/>
  </w:num>
  <w:num w:numId="7">
    <w:abstractNumId w:val="10"/>
  </w:num>
  <w:num w:numId="8">
    <w:abstractNumId w:val="13"/>
  </w:num>
  <w:num w:numId="9">
    <w:abstractNumId w:val="8"/>
  </w:num>
  <w:num w:numId="10">
    <w:abstractNumId w:val="9"/>
  </w:num>
  <w:num w:numId="11">
    <w:abstractNumId w:val="15"/>
  </w:num>
  <w:num w:numId="12">
    <w:abstractNumId w:val="1"/>
  </w:num>
  <w:num w:numId="13">
    <w:abstractNumId w:val="2"/>
  </w:num>
  <w:num w:numId="14">
    <w:abstractNumId w:val="0"/>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E38"/>
    <w:rsid w:val="00100186"/>
    <w:rsid w:val="008B2E38"/>
    <w:rsid w:val="00BA799A"/>
    <w:rsid w:val="00C87A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B2E3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8B2E38"/>
    <w:rPr>
      <w:b/>
      <w:bCs/>
    </w:rPr>
  </w:style>
  <w:style w:type="character" w:styleId="a5">
    <w:name w:val="Emphasis"/>
    <w:basedOn w:val="a0"/>
    <w:uiPriority w:val="20"/>
    <w:qFormat/>
    <w:rsid w:val="008B2E38"/>
    <w:rPr>
      <w:i/>
      <w:iCs/>
    </w:rPr>
  </w:style>
  <w:style w:type="paragraph" w:styleId="a6">
    <w:name w:val="Balloon Text"/>
    <w:basedOn w:val="a"/>
    <w:link w:val="a7"/>
    <w:uiPriority w:val="99"/>
    <w:semiHidden/>
    <w:unhideWhenUsed/>
    <w:rsid w:val="00C87A9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87A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B2E3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8B2E38"/>
    <w:rPr>
      <w:b/>
      <w:bCs/>
    </w:rPr>
  </w:style>
  <w:style w:type="character" w:styleId="a5">
    <w:name w:val="Emphasis"/>
    <w:basedOn w:val="a0"/>
    <w:uiPriority w:val="20"/>
    <w:qFormat/>
    <w:rsid w:val="008B2E38"/>
    <w:rPr>
      <w:i/>
      <w:iCs/>
    </w:rPr>
  </w:style>
  <w:style w:type="paragraph" w:styleId="a6">
    <w:name w:val="Balloon Text"/>
    <w:basedOn w:val="a"/>
    <w:link w:val="a7"/>
    <w:uiPriority w:val="99"/>
    <w:semiHidden/>
    <w:unhideWhenUsed/>
    <w:rsid w:val="00C87A9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87A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0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11076</Words>
  <Characters>6314</Characters>
  <Application>Microsoft Office Word</Application>
  <DocSecurity>0</DocSecurity>
  <Lines>52</Lines>
  <Paragraphs>34</Paragraphs>
  <ScaleCrop>false</ScaleCrop>
  <Company/>
  <LinksUpToDate>false</LinksUpToDate>
  <CharactersWithSpaces>17356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3</cp:revision>
  <dcterms:created xsi:type="dcterms:W3CDTF">2026-04-12T13:28:00Z</dcterms:created>
  <dcterms:modified xsi:type="dcterms:W3CDTF">2026-04-14T19:01:00Z</dcterms:modified>
</cp:coreProperties>
</file>