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ЗВІТ</w:t>
      </w:r>
    </w:p>
    <w:p>
      <w:r>
        <w:t>про виконання практичної роботи №1</w:t>
      </w:r>
    </w:p>
    <w:p>
      <w:r>
        <w:t>Тема: Розробка комплексу агротехнічних та хімічних заходів боротьби з бур’янами.</w:t>
        <w:br/>
      </w:r>
    </w:p>
    <w:p>
      <w:pPr>
        <w:pStyle w:val="Heading2"/>
      </w:pPr>
      <w:r>
        <w:t>1. Розподіл бур’янів за групами</w:t>
      </w:r>
    </w:p>
    <w:p>
      <w:r>
        <w:t>Однорічні ярі: мишій сизий, просо куряче, галінсога дрібноквіткова.</w:t>
        <w:br/>
        <w:t>Однорічні озимі: грицики звичайні, талабан польовий.</w:t>
        <w:br/>
        <w:t>Багаторічні коренепаросткові: осот жовтий польовий.</w:t>
        <w:br/>
        <w:t>Багаторічні кореневищні: пирій повзучий.</w:t>
      </w:r>
    </w:p>
    <w:p>
      <w:pPr>
        <w:pStyle w:val="Heading2"/>
      </w:pPr>
      <w:r>
        <w:t>2. Комплекс заходів боротьби з бур’янами</w:t>
      </w:r>
    </w:p>
    <w:p>
      <w:r>
        <w:t>Однорічні ярі</w:t>
        <w:br/>
        <w:t>Представники: мишій сизий, просо куряче, галінсога дрібноквіткова.</w:t>
        <w:br/>
        <w:t>Агротехнічні заходи: науково обґрунтована сівозміна, своєчасний обробіток ґрунту, боронування посівів, міжрядний обробіток.</w:t>
        <w:br/>
        <w:t>Хімічні заходи: застосування гербіцидів вибіркової дії (наприклад Пріма, Гранстар).</w:t>
        <w:br/>
      </w:r>
    </w:p>
    <w:p>
      <w:r>
        <w:t>Однорічні озимі</w:t>
        <w:br/>
        <w:t>Представники: грицики звичайні, талабан польовий.</w:t>
        <w:br/>
        <w:t>Агротехнічні заходи: лущення стерні, зяблева оранка, дотримання сівозміни.</w:t>
        <w:br/>
        <w:t>Хімічні заходи: застосування гербіцидів у посівах зернових культур.</w:t>
        <w:br/>
      </w:r>
    </w:p>
    <w:p>
      <w:r>
        <w:t>Багаторічні коренепаросткові</w:t>
        <w:br/>
        <w:t>Представники: осот жовтий польовий.</w:t>
        <w:br/>
        <w:t>Агротехнічні заходи: глибока оранка, багаторазове розпушування ґрунту, виснаження кореневої системи.</w:t>
        <w:br/>
        <w:t>Хімічні заходи: застосування системних гербіцидів (Раундап, Гліфосат).</w:t>
        <w:br/>
      </w:r>
    </w:p>
    <w:p>
      <w:r>
        <w:t>Багаторічні кореневищні</w:t>
        <w:br/>
        <w:t>Представники: пирій повзучий.</w:t>
        <w:br/>
        <w:t>Агротехнічні заходи: багаторазове дискування, глибока оранка, метод виснаження.</w:t>
        <w:br/>
        <w:t>Хімічні заходи: застосування гербіцидів суцільної дії (Гліфосат).</w:t>
        <w:br/>
      </w:r>
    </w:p>
    <w:p>
      <w:pPr>
        <w:pStyle w:val="Heading2"/>
      </w:pPr>
      <w:r>
        <w:t>Висновок</w:t>
      </w:r>
    </w:p>
    <w:p>
      <w:r>
        <w:t>Під час виконання практичної роботи були вивчені види бур’янів та їх класифікація. Було засвоєно принципи розробки комплексу агротехнічних і хімічних заходів боротьби з бур’янами. Студент отримав практичні навички визначення груп бур’янів і підбору ефективних методів їх контролю.</w:t>
      </w:r>
    </w:p>
    <w:p>
      <w:r>
        <w:br/>
        <w:t>Студент: Пінчук Варелій</w:t>
      </w:r>
    </w:p>
    <w:p>
      <w:r>
        <w:t>Група: 21 H1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