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бычный"/>
        <w:spacing w:after="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Пр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актич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на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 xml:space="preserve"> робот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а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 xml:space="preserve"> №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3</w:t>
      </w:r>
    </w:p>
    <w:p>
      <w:pPr>
        <w:pStyle w:val="Обычный"/>
        <w:spacing w:after="0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Навчальна дисципліна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:</w:t>
      </w:r>
      <w:r>
        <w:rPr>
          <w:rFonts w:ascii="Times New Roman" w:hAnsi="Times New Roman"/>
          <w:sz w:val="28"/>
          <w:szCs w:val="28"/>
          <w:rtl w:val="0"/>
        </w:rPr>
        <w:t xml:space="preserve"> </w:t>
      </w:r>
      <w:r>
        <w:rPr>
          <w:rFonts w:ascii="Times New Roman" w:hAnsi="Times New Roman"/>
          <w:sz w:val="24"/>
          <w:szCs w:val="24"/>
          <w:rtl w:val="0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</w:rPr>
        <w:t>Агрохімія</w:t>
      </w:r>
    </w:p>
    <w:p>
      <w:pPr>
        <w:pStyle w:val="Обычный"/>
        <w:spacing w:after="0" w:line="240" w:lineRule="auto"/>
        <w:ind w:left="1821" w:hanging="1821"/>
        <w:jc w:val="both"/>
        <w:rPr>
          <w:rFonts w:ascii="Times New Roman" w:cs="Times New Roman" w:hAnsi="Times New Roman" w:eastAsia="Times New Roman"/>
          <w:outline w:val="0"/>
          <w:color w:val="000000"/>
          <w:position w:val="8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Тема заняття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:</w:t>
      </w:r>
      <w:r>
        <w:rPr>
          <w:b w:val="1"/>
          <w:bCs w:val="1"/>
          <w:sz w:val="20"/>
          <w:szCs w:val="20"/>
          <w:rtl w:val="0"/>
        </w:rPr>
        <w:t xml:space="preserve"> </w:t>
      </w:r>
      <w:r>
        <w:rPr>
          <w:rFonts w:ascii="Times New Roman" w:hAnsi="Times New Roman" w:hint="default"/>
          <w:outline w:val="0"/>
          <w:color w:val="000000"/>
          <w:position w:val="8"/>
          <w:sz w:val="28"/>
          <w:szCs w:val="28"/>
          <w:u w:color="000000"/>
          <w:rtl w:val="0"/>
          <w14:textFill>
            <w14:solidFill>
              <w14:srgbClr w14:val="000000"/>
            </w14:solidFill>
          </w14:textFill>
        </w:rPr>
        <w:t>Розрахунок норм добрив нормативним і балансово  розрахунковим методами</w:t>
      </w:r>
    </w:p>
    <w:p>
      <w:pPr>
        <w:pStyle w:val="Обычный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Завдання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:</w:t>
      </w:r>
    </w:p>
    <w:p>
      <w:pPr>
        <w:pStyle w:val="Обычный"/>
        <w:numPr>
          <w:ilvl w:val="0"/>
          <w:numId w:val="2"/>
        </w:numPr>
        <w:bidi w:val="0"/>
        <w:spacing w:after="0" w:line="240" w:lineRule="auto"/>
        <w:ind w:right="0"/>
        <w:jc w:val="both"/>
        <w:rPr>
          <w:rFonts w:ascii="Times New Roman" w:hAnsi="Times New Roman" w:hint="default"/>
          <w:sz w:val="28"/>
          <w:szCs w:val="28"/>
          <w:rtl w:val="0"/>
        </w:rPr>
      </w:pPr>
      <w:r>
        <w:rPr>
          <w:rFonts w:ascii="Times New Roman" w:hAnsi="Times New Roman" w:hint="default"/>
          <w:sz w:val="28"/>
          <w:szCs w:val="28"/>
          <w:rtl w:val="0"/>
        </w:rPr>
        <w:t>Розрахунок норм добрив нормативним методом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Заголовок 1"/>
        <w:numPr>
          <w:ilvl w:val="0"/>
          <w:numId w:val="2"/>
        </w:numPr>
        <w:bidi w:val="0"/>
        <w:ind w:right="0"/>
        <w:jc w:val="both"/>
        <w:rPr>
          <w:b w:val="0"/>
          <w:bCs w:val="0"/>
          <w:sz w:val="28"/>
          <w:szCs w:val="28"/>
          <w:rtl w:val="0"/>
        </w:rPr>
      </w:pPr>
      <w:r>
        <w:rPr>
          <w:b w:val="0"/>
          <w:bCs w:val="0"/>
          <w:sz w:val="28"/>
          <w:szCs w:val="28"/>
          <w:rtl w:val="0"/>
        </w:rPr>
        <w:t>Розрахунок норм добрив балансово</w:t>
      </w:r>
      <w:r>
        <w:rPr>
          <w:b w:val="0"/>
          <w:bCs w:val="0"/>
          <w:sz w:val="28"/>
          <w:szCs w:val="28"/>
          <w:rtl w:val="0"/>
        </w:rPr>
        <w:t>-</w:t>
      </w:r>
      <w:r>
        <w:rPr>
          <w:b w:val="0"/>
          <w:bCs w:val="0"/>
          <w:sz w:val="28"/>
          <w:szCs w:val="28"/>
          <w:rtl w:val="0"/>
        </w:rPr>
        <w:t>розрахунковим методом</w:t>
      </w:r>
      <w:r>
        <w:rPr>
          <w:b w:val="0"/>
          <w:bCs w:val="0"/>
          <w:sz w:val="28"/>
          <w:szCs w:val="28"/>
          <w:rtl w:val="0"/>
        </w:rPr>
        <w:t>.</w:t>
      </w:r>
    </w:p>
    <w:p>
      <w:pPr>
        <w:pStyle w:val="Обычный"/>
        <w:jc w:val="both"/>
      </w:pPr>
    </w:p>
    <w:p>
      <w:pPr>
        <w:pStyle w:val="Обычный"/>
        <w:numPr>
          <w:ilvl w:val="0"/>
          <w:numId w:val="4"/>
        </w:numPr>
        <w:spacing w:after="0" w:line="240" w:lineRule="auto"/>
        <w:rPr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Р</w:t>
      </w:r>
      <w:r>
        <w:rPr>
          <w:rFonts w:ascii="Times New Roman" w:hAnsi="Times New Roman" w:hint="default"/>
          <w:sz w:val="28"/>
          <w:szCs w:val="28"/>
          <w:rtl w:val="0"/>
        </w:rPr>
        <w:t>озрахувати </w:t>
      </w:r>
      <w:r>
        <w:rPr>
          <w:rStyle w:val="Hyperlink.0"/>
          <w:rFonts w:ascii="Times New Roman" w:cs="Times New Roman" w:hAnsi="Times New Roman" w:eastAsia="Times New Roman"/>
          <w:sz w:val="28"/>
          <w:szCs w:val="28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sz w:val="28"/>
          <w:szCs w:val="28"/>
        </w:rPr>
        <w:instrText xml:space="preserve"> HYPERLINK "https://vukladach.pp.ua/MyWeb/manual/pidruchnuku13122023/Praktukym%20Agroximija/Glosariu/Glosariu.htm#%25D0%25BD%25D0%25BE%25D1%2580%25D0%25BC%25D0%25B0_%25D0%25B4%25D0%25BE%25D0%25B1%25D1%2580%25D0%25B8%25D0%25B2"</w:instrText>
      </w:r>
      <w:r>
        <w:rPr>
          <w:rStyle w:val="Hyperlink.0"/>
          <w:rFonts w:ascii="Times New Roman" w:cs="Times New Roman" w:hAnsi="Times New Roman" w:eastAsia="Times New Roman"/>
          <w:sz w:val="28"/>
          <w:szCs w:val="28"/>
        </w:rPr>
        <w:fldChar w:fldCharType="separate" w:fldLock="0"/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норми добрив</w:t>
      </w:r>
      <w:r>
        <w:rPr/>
        <w:fldChar w:fldCharType="end" w:fldLock="0"/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 нормативним методом під озиму пшеницю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 xml:space="preserve">якщо середні орієнтовні норми 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N</w:t>
      </w:r>
      <w:r>
        <w:rPr>
          <w:rStyle w:val="Немає"/>
          <w:rFonts w:ascii="Times New Roman" w:hAnsi="Times New Roman"/>
          <w:sz w:val="28"/>
          <w:szCs w:val="28"/>
          <w:vertAlign w:val="subscript"/>
          <w:rtl w:val="0"/>
        </w:rPr>
        <w:t>90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P</w:t>
      </w:r>
      <w:r>
        <w:rPr>
          <w:rStyle w:val="Немає"/>
          <w:rFonts w:ascii="Times New Roman" w:hAnsi="Times New Roman"/>
          <w:sz w:val="28"/>
          <w:szCs w:val="28"/>
          <w:vertAlign w:val="subscript"/>
          <w:rtl w:val="0"/>
        </w:rPr>
        <w:t>60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K</w:t>
      </w:r>
      <w:r>
        <w:rPr>
          <w:rStyle w:val="Немає"/>
          <w:rFonts w:ascii="Times New Roman" w:hAnsi="Times New Roman"/>
          <w:sz w:val="28"/>
          <w:szCs w:val="28"/>
          <w:vertAlign w:val="subscript"/>
          <w:rtl w:val="0"/>
        </w:rPr>
        <w:t>40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.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 xml:space="preserve">За даними паспорту поля ґрунт містить 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105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мг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/100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г азоту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, 27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мг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/100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 xml:space="preserve">г фосфору та 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45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мг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/100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г калію</w:t>
      </w:r>
      <w:r>
        <w:rPr>
          <w:rStyle w:val="Hyperlink.0"/>
          <w:rFonts w:ascii="Times New Roman" w:hAnsi="Times New Roman"/>
          <w:sz w:val="28"/>
          <w:szCs w:val="28"/>
          <w:rtl w:val="0"/>
          <w:lang w:val="en-US"/>
        </w:rPr>
        <w:t>.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                                   </w:t>
      </w:r>
      <w:r>
        <w:rPr>
          <w:rStyle w:val="Немає"/>
          <w:rFonts w:ascii="Times New Roman" w:hAnsi="Times New Roman" w:hint="default"/>
          <w:sz w:val="28"/>
          <w:szCs w:val="28"/>
          <w:rtl w:val="0"/>
        </w:rPr>
        <w:t>Середні орієнтовні норми під озиму пшеницю</w:t>
      </w:r>
      <w:r>
        <w:rPr>
          <w:rStyle w:val="Немає"/>
          <w:rFonts w:ascii="Times New Roman" w:hAnsi="Times New Roman"/>
          <w:sz w:val="28"/>
          <w:szCs w:val="28"/>
          <w:rtl w:val="0"/>
        </w:rPr>
        <w:t>:</w:t>
      </w:r>
      <w:r>
        <w:rPr>
          <w:rStyle w:val="Немає"/>
          <w:rFonts w:ascii="Times New Roman" w:hAnsi="Times New Roman"/>
          <w:sz w:val="28"/>
          <w:szCs w:val="28"/>
          <w:rtl w:val="0"/>
        </w:rPr>
        <w:t xml:space="preserve"> 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N</w:t>
      </w:r>
      <w:r>
        <w:rPr>
          <w:rStyle w:val="Немає"/>
          <w:rFonts w:ascii="Times New Roman" w:hAnsi="Times New Roman"/>
          <w:sz w:val="28"/>
          <w:szCs w:val="28"/>
          <w:vertAlign w:val="subscript"/>
          <w:rtl w:val="0"/>
        </w:rPr>
        <w:t>90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P</w:t>
      </w:r>
      <w:r>
        <w:rPr>
          <w:rStyle w:val="Немає"/>
          <w:rFonts w:ascii="Times New Roman" w:hAnsi="Times New Roman"/>
          <w:sz w:val="28"/>
          <w:szCs w:val="28"/>
          <w:vertAlign w:val="subscript"/>
          <w:rtl w:val="0"/>
        </w:rPr>
        <w:t>60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K</w:t>
      </w:r>
      <w:r>
        <w:rPr>
          <w:rStyle w:val="Немає"/>
          <w:rFonts w:ascii="Times New Roman" w:hAnsi="Times New Roman"/>
          <w:sz w:val="28"/>
          <w:szCs w:val="28"/>
          <w:vertAlign w:val="subscript"/>
          <w:rtl w:val="0"/>
        </w:rPr>
        <w:t>40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Вміст у ґрунті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sz w:val="28"/>
          <w:szCs w:val="28"/>
          <w:lang w:val="en-US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Азот — </w:t>
      </w:r>
      <w:r>
        <w:rPr>
          <w:rFonts w:ascii="Times New Roman" w:hAnsi="Times New Roman"/>
          <w:sz w:val="28"/>
          <w:szCs w:val="28"/>
          <w:rtl w:val="0"/>
        </w:rPr>
        <w:t xml:space="preserve">105 </w:t>
      </w:r>
      <w:r>
        <w:rPr>
          <w:rFonts w:ascii="Times New Roman" w:hAnsi="Times New Roman" w:hint="default"/>
          <w:sz w:val="28"/>
          <w:szCs w:val="28"/>
          <w:rtl w:val="0"/>
        </w:rPr>
        <w:t>мг</w:t>
      </w:r>
      <w:r>
        <w:rPr>
          <w:rFonts w:ascii="Times New Roman" w:hAnsi="Times New Roman"/>
          <w:sz w:val="28"/>
          <w:szCs w:val="28"/>
          <w:rtl w:val="0"/>
        </w:rPr>
        <w:t xml:space="preserve">/100 </w:t>
      </w:r>
      <w:r>
        <w:rPr>
          <w:rFonts w:ascii="Times New Roman" w:hAnsi="Times New Roman" w:hint="default"/>
          <w:sz w:val="28"/>
          <w:szCs w:val="28"/>
          <w:rtl w:val="0"/>
        </w:rPr>
        <w:t>г</w:t>
      </w:r>
    </w:p>
    <w:p>
      <w:pPr>
        <w:pStyle w:val="Типовий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sz w:val="28"/>
          <w:szCs w:val="28"/>
          <w:lang w:val="en-US"/>
        </w:rPr>
      </w:pPr>
      <w:r>
        <w:rPr>
          <w:rFonts w:ascii="Times New Roman" w:hAnsi="Times New Roman" w:hint="default"/>
          <w:sz w:val="28"/>
          <w:szCs w:val="28"/>
          <w:rtl w:val="0"/>
          <w:lang w:val="en-US"/>
        </w:rPr>
        <w:t xml:space="preserve">Фосфор — </w:t>
      </w:r>
      <w:r>
        <w:rPr>
          <w:rFonts w:ascii="Times New Roman" w:hAnsi="Times New Roman"/>
          <w:sz w:val="28"/>
          <w:szCs w:val="28"/>
          <w:rtl w:val="0"/>
        </w:rPr>
        <w:t xml:space="preserve">27 </w:t>
      </w:r>
      <w:r>
        <w:rPr>
          <w:rFonts w:ascii="Times New Roman" w:hAnsi="Times New Roman" w:hint="default"/>
          <w:sz w:val="28"/>
          <w:szCs w:val="28"/>
          <w:rtl w:val="0"/>
        </w:rPr>
        <w:t>мг</w:t>
      </w:r>
      <w:r>
        <w:rPr>
          <w:rFonts w:ascii="Times New Roman" w:hAnsi="Times New Roman"/>
          <w:sz w:val="28"/>
          <w:szCs w:val="28"/>
          <w:rtl w:val="0"/>
        </w:rPr>
        <w:t xml:space="preserve">/100 </w:t>
      </w:r>
      <w:r>
        <w:rPr>
          <w:rFonts w:ascii="Times New Roman" w:hAnsi="Times New Roman" w:hint="default"/>
          <w:sz w:val="28"/>
          <w:szCs w:val="28"/>
          <w:rtl w:val="0"/>
        </w:rPr>
        <w:t>г</w:t>
      </w:r>
    </w:p>
    <w:p>
      <w:pPr>
        <w:pStyle w:val="Типовий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Калій — </w:t>
      </w:r>
      <w:r>
        <w:rPr>
          <w:rFonts w:ascii="Times New Roman" w:hAnsi="Times New Roman"/>
          <w:sz w:val="28"/>
          <w:szCs w:val="28"/>
          <w:rtl w:val="0"/>
        </w:rPr>
        <w:t xml:space="preserve">45 </w:t>
      </w:r>
      <w:r>
        <w:rPr>
          <w:rFonts w:ascii="Times New Roman" w:hAnsi="Times New Roman" w:hint="default"/>
          <w:sz w:val="28"/>
          <w:szCs w:val="28"/>
          <w:rtl w:val="0"/>
        </w:rPr>
        <w:t>мг</w:t>
      </w:r>
      <w:r>
        <w:rPr>
          <w:rFonts w:ascii="Times New Roman" w:hAnsi="Times New Roman"/>
          <w:sz w:val="28"/>
          <w:szCs w:val="28"/>
          <w:rtl w:val="0"/>
        </w:rPr>
        <w:t xml:space="preserve">/100 </w:t>
      </w:r>
      <w:r>
        <w:rPr>
          <w:rFonts w:ascii="Times New Roman" w:hAnsi="Times New Roman" w:hint="default"/>
          <w:sz w:val="28"/>
          <w:szCs w:val="28"/>
          <w:rtl w:val="0"/>
        </w:rPr>
        <w:t>г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81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1. </w:t>
      </w:r>
      <w:r>
        <w:rPr>
          <w:rFonts w:ascii="Times New Roman" w:hAnsi="Times New Roman" w:hint="default"/>
          <w:sz w:val="28"/>
          <w:szCs w:val="28"/>
          <w:rtl w:val="0"/>
        </w:rPr>
        <w:t>Визначаємо забезпеченість ґрунту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Зазвичай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азот </w:t>
      </w:r>
      <w:r>
        <w:rPr>
          <w:rFonts w:ascii="Times New Roman" w:hAnsi="Times New Roman"/>
          <w:sz w:val="28"/>
          <w:szCs w:val="28"/>
          <w:rtl w:val="0"/>
        </w:rPr>
        <w:t xml:space="preserve">105 </w:t>
      </w:r>
      <w:r>
        <w:rPr>
          <w:rFonts w:ascii="Times New Roman" w:hAnsi="Times New Roman" w:hint="default"/>
          <w:sz w:val="28"/>
          <w:szCs w:val="28"/>
          <w:rtl w:val="0"/>
        </w:rPr>
        <w:t>мг</w:t>
      </w:r>
      <w:r>
        <w:rPr>
          <w:rFonts w:ascii="Times New Roman" w:hAnsi="Times New Roman"/>
          <w:sz w:val="28"/>
          <w:szCs w:val="28"/>
          <w:rtl w:val="0"/>
        </w:rPr>
        <w:t xml:space="preserve">/100 </w:t>
      </w:r>
      <w:r>
        <w:rPr>
          <w:rFonts w:ascii="Times New Roman" w:hAnsi="Times New Roman" w:hint="default"/>
          <w:sz w:val="28"/>
          <w:szCs w:val="28"/>
          <w:rtl w:val="0"/>
        </w:rPr>
        <w:t>г — високий вміст</w:t>
      </w:r>
    </w:p>
    <w:p>
      <w:pPr>
        <w:pStyle w:val="Типовий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фосфор </w:t>
      </w:r>
      <w:r>
        <w:rPr>
          <w:rFonts w:ascii="Times New Roman" w:hAnsi="Times New Roman"/>
          <w:sz w:val="28"/>
          <w:szCs w:val="28"/>
          <w:rtl w:val="0"/>
        </w:rPr>
        <w:t xml:space="preserve">27 </w:t>
      </w:r>
      <w:r>
        <w:rPr>
          <w:rFonts w:ascii="Times New Roman" w:hAnsi="Times New Roman" w:hint="default"/>
          <w:sz w:val="28"/>
          <w:szCs w:val="28"/>
          <w:rtl w:val="0"/>
        </w:rPr>
        <w:t>мг</w:t>
      </w:r>
      <w:r>
        <w:rPr>
          <w:rFonts w:ascii="Times New Roman" w:hAnsi="Times New Roman"/>
          <w:sz w:val="28"/>
          <w:szCs w:val="28"/>
          <w:rtl w:val="0"/>
        </w:rPr>
        <w:t xml:space="preserve">/100 </w:t>
      </w:r>
      <w:r>
        <w:rPr>
          <w:rFonts w:ascii="Times New Roman" w:hAnsi="Times New Roman" w:hint="default"/>
          <w:sz w:val="28"/>
          <w:szCs w:val="28"/>
          <w:rtl w:val="0"/>
        </w:rPr>
        <w:t>г — середній вміст</w:t>
      </w:r>
    </w:p>
    <w:p>
      <w:pPr>
        <w:pStyle w:val="Типовий"/>
        <w:numPr>
          <w:ilvl w:val="0"/>
          <w:numId w:val="6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калій </w:t>
      </w:r>
      <w:r>
        <w:rPr>
          <w:rFonts w:ascii="Times New Roman" w:hAnsi="Times New Roman"/>
          <w:sz w:val="28"/>
          <w:szCs w:val="28"/>
          <w:rtl w:val="0"/>
        </w:rPr>
        <w:t xml:space="preserve">45 </w:t>
      </w:r>
      <w:r>
        <w:rPr>
          <w:rFonts w:ascii="Times New Roman" w:hAnsi="Times New Roman" w:hint="default"/>
          <w:sz w:val="28"/>
          <w:szCs w:val="28"/>
          <w:rtl w:val="0"/>
        </w:rPr>
        <w:t>мг</w:t>
      </w:r>
      <w:r>
        <w:rPr>
          <w:rFonts w:ascii="Times New Roman" w:hAnsi="Times New Roman"/>
          <w:sz w:val="28"/>
          <w:szCs w:val="28"/>
          <w:rtl w:val="0"/>
        </w:rPr>
        <w:t xml:space="preserve">/100 </w:t>
      </w:r>
      <w:r>
        <w:rPr>
          <w:rFonts w:ascii="Times New Roman" w:hAnsi="Times New Roman" w:hint="default"/>
          <w:sz w:val="28"/>
          <w:szCs w:val="28"/>
          <w:rtl w:val="0"/>
        </w:rPr>
        <w:t xml:space="preserve">г — підвищений </w:t>
      </w:r>
      <w:r>
        <w:rPr>
          <w:rFonts w:ascii="Times New Roman" w:hAnsi="Times New Roman"/>
          <w:sz w:val="28"/>
          <w:szCs w:val="28"/>
          <w:rtl w:val="0"/>
        </w:rPr>
        <w:t xml:space="preserve">/ </w:t>
      </w:r>
      <w:r>
        <w:rPr>
          <w:rFonts w:ascii="Times New Roman" w:hAnsi="Times New Roman" w:hint="default"/>
          <w:sz w:val="28"/>
          <w:szCs w:val="28"/>
          <w:rtl w:val="0"/>
        </w:rPr>
        <w:t>високий вміст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jc w:val="left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81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2. </w:t>
      </w:r>
      <w:r>
        <w:rPr>
          <w:rFonts w:ascii="Times New Roman" w:hAnsi="Times New Roman" w:hint="default"/>
          <w:sz w:val="28"/>
          <w:szCs w:val="28"/>
          <w:rtl w:val="0"/>
        </w:rPr>
        <w:t>Застосовуємо поправки до середніх норм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За нормативним методом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8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при високому забезпеченні норму зменшують</w:t>
      </w:r>
    </w:p>
    <w:p>
      <w:pPr>
        <w:pStyle w:val="Типовий"/>
        <w:numPr>
          <w:ilvl w:val="0"/>
          <w:numId w:val="8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при середньому забезпеченні залишають без змін</w:t>
      </w:r>
    </w:p>
    <w:p>
      <w:pPr>
        <w:pStyle w:val="Типовий"/>
        <w:numPr>
          <w:ilvl w:val="0"/>
          <w:numId w:val="8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при підвищеному або високому забезпеченні теж зменшують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Орієнтовно приймають так</w:t>
      </w:r>
      <w:r>
        <w:rPr>
          <w:rFonts w:ascii="Times New Roman" w:hAnsi="Times New Roman"/>
          <w:sz w:val="28"/>
          <w:szCs w:val="28"/>
          <w:rtl w:val="0"/>
        </w:rPr>
        <w:t>:</w:t>
      </w:r>
    </w:p>
    <w:p>
      <w:pPr>
        <w:pStyle w:val="Типовий"/>
        <w:numPr>
          <w:ilvl w:val="0"/>
          <w:numId w:val="8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для високого вмісту — </w:t>
      </w:r>
      <w:r>
        <w:rPr>
          <w:rFonts w:ascii="Times New Roman" w:hAnsi="Times New Roman"/>
          <w:sz w:val="28"/>
          <w:szCs w:val="28"/>
          <w:rtl w:val="0"/>
        </w:rPr>
        <w:t>-30%</w:t>
      </w:r>
    </w:p>
    <w:p>
      <w:pPr>
        <w:pStyle w:val="Типовий"/>
        <w:numPr>
          <w:ilvl w:val="0"/>
          <w:numId w:val="8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для середнього — без змін</w:t>
      </w:r>
    </w:p>
    <w:p>
      <w:pPr>
        <w:pStyle w:val="Типовий"/>
        <w:numPr>
          <w:ilvl w:val="0"/>
          <w:numId w:val="8"/>
        </w:numPr>
        <w:suppressAutoHyphens w:val="1"/>
        <w:spacing w:before="0" w:line="240" w:lineRule="auto"/>
        <w:jc w:val="left"/>
        <w:rPr>
          <w:rFonts w:ascii="Times New Roman" w:hAnsi="Times New Roman" w:hint="default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 xml:space="preserve">для підвищеного — </w:t>
      </w:r>
      <w:r>
        <w:rPr>
          <w:rFonts w:ascii="Times New Roman" w:hAnsi="Times New Roman"/>
          <w:sz w:val="28"/>
          <w:szCs w:val="28"/>
          <w:rtl w:val="0"/>
        </w:rPr>
        <w:t>-20%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81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Розрахунок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319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Азот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N90 </w:t>
      </w:r>
      <w:r>
        <w:rPr>
          <w:rFonts w:ascii="Times New Roman" w:hAnsi="Times New Roman" w:hint="default"/>
          <w:sz w:val="28"/>
          <w:szCs w:val="28"/>
          <w:rtl w:val="0"/>
        </w:rPr>
        <w:t xml:space="preserve">− </w:t>
      </w:r>
      <w:r>
        <w:rPr>
          <w:rFonts w:ascii="Times New Roman" w:hAnsi="Times New Roman"/>
          <w:sz w:val="28"/>
          <w:szCs w:val="28"/>
          <w:rtl w:val="0"/>
        </w:rPr>
        <w:t>30%</w:t>
      </w:r>
      <w:r>
        <w:rPr>
          <w:rFonts w:ascii="Times New Roman" w:cs="Times New Roman" w:hAnsi="Times New Roman" w:eastAsia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  <w:rtl w:val="0"/>
        </w:rPr>
        <w:t xml:space="preserve">90 </w:t>
      </w:r>
      <w:r>
        <w:rPr>
          <w:rFonts w:ascii="Times New Roman" w:hAnsi="Times New Roman" w:hint="default"/>
          <w:sz w:val="28"/>
          <w:szCs w:val="28"/>
          <w:rtl w:val="0"/>
        </w:rPr>
        <w:t xml:space="preserve">× </w:t>
      </w:r>
      <w:r>
        <w:rPr>
          <w:rFonts w:ascii="Times New Roman" w:hAnsi="Times New Roman"/>
          <w:sz w:val="28"/>
          <w:szCs w:val="28"/>
          <w:rtl w:val="0"/>
        </w:rPr>
        <w:t xml:space="preserve">0,7 = 63 </w:t>
      </w:r>
      <w:r>
        <w:rPr>
          <w:rFonts w:ascii="Times New Roman" w:hAnsi="Times New Roman" w:hint="default"/>
          <w:sz w:val="28"/>
          <w:szCs w:val="28"/>
          <w:rtl w:val="0"/>
        </w:rPr>
        <w:t>кг</w:t>
      </w:r>
      <w:r>
        <w:rPr>
          <w:rFonts w:ascii="Times New Roman" w:hAnsi="Times New Roman"/>
          <w:sz w:val="28"/>
          <w:szCs w:val="28"/>
          <w:rtl w:val="0"/>
        </w:rPr>
        <w:t>/</w:t>
      </w:r>
      <w:r>
        <w:rPr>
          <w:rFonts w:ascii="Times New Roman" w:hAnsi="Times New Roman" w:hint="default"/>
          <w:sz w:val="28"/>
          <w:szCs w:val="28"/>
          <w:rtl w:val="0"/>
        </w:rPr>
        <w:t>га д</w:t>
      </w:r>
      <w:r>
        <w:rPr>
          <w:rFonts w:ascii="Times New Roman" w:hAnsi="Times New Roman"/>
          <w:sz w:val="28"/>
          <w:szCs w:val="28"/>
          <w:rtl w:val="0"/>
        </w:rPr>
        <w:t>.</w:t>
      </w:r>
      <w:r>
        <w:rPr>
          <w:rFonts w:ascii="Times New Roman" w:hAnsi="Times New Roman" w:hint="default"/>
          <w:sz w:val="28"/>
          <w:szCs w:val="28"/>
          <w:rtl w:val="0"/>
        </w:rPr>
        <w:t>р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319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Фосфор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P60 </w:t>
      </w:r>
      <w:r>
        <w:rPr>
          <w:rFonts w:ascii="Times New Roman" w:hAnsi="Times New Roman" w:hint="default"/>
          <w:sz w:val="28"/>
          <w:szCs w:val="28"/>
          <w:rtl w:val="0"/>
        </w:rPr>
        <w:t>без змін</w:t>
        <w:br w:type="textWrapping"/>
      </w:r>
      <w:r>
        <w:rPr>
          <w:rFonts w:ascii="Times New Roman" w:hAnsi="Times New Roman"/>
          <w:sz w:val="28"/>
          <w:szCs w:val="28"/>
          <w:rtl w:val="0"/>
        </w:rPr>
        <w:t xml:space="preserve">60 </w:t>
      </w:r>
      <w:r>
        <w:rPr>
          <w:rFonts w:ascii="Times New Roman" w:hAnsi="Times New Roman" w:hint="default"/>
          <w:sz w:val="28"/>
          <w:szCs w:val="28"/>
          <w:rtl w:val="0"/>
        </w:rPr>
        <w:t>кг</w:t>
      </w:r>
      <w:r>
        <w:rPr>
          <w:rFonts w:ascii="Times New Roman" w:hAnsi="Times New Roman"/>
          <w:sz w:val="28"/>
          <w:szCs w:val="28"/>
          <w:rtl w:val="0"/>
        </w:rPr>
        <w:t>/</w:t>
      </w:r>
      <w:r>
        <w:rPr>
          <w:rFonts w:ascii="Times New Roman" w:hAnsi="Times New Roman" w:hint="default"/>
          <w:sz w:val="28"/>
          <w:szCs w:val="28"/>
          <w:rtl w:val="0"/>
        </w:rPr>
        <w:t>га д</w:t>
      </w:r>
      <w:r>
        <w:rPr>
          <w:rFonts w:ascii="Times New Roman" w:hAnsi="Times New Roman"/>
          <w:sz w:val="28"/>
          <w:szCs w:val="28"/>
          <w:rtl w:val="0"/>
        </w:rPr>
        <w:t>.</w:t>
      </w:r>
      <w:r>
        <w:rPr>
          <w:rFonts w:ascii="Times New Roman" w:hAnsi="Times New Roman" w:hint="default"/>
          <w:sz w:val="28"/>
          <w:szCs w:val="28"/>
          <w:rtl w:val="0"/>
        </w:rPr>
        <w:t>р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319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</w:rPr>
        <w:t>Калій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</w:rPr>
        <w:t xml:space="preserve">K40 </w:t>
      </w:r>
      <w:r>
        <w:rPr>
          <w:rFonts w:ascii="Times New Roman" w:hAnsi="Times New Roman" w:hint="default"/>
          <w:sz w:val="28"/>
          <w:szCs w:val="28"/>
          <w:rtl w:val="0"/>
        </w:rPr>
        <w:t xml:space="preserve">− </w:t>
      </w:r>
      <w:r>
        <w:rPr>
          <w:rFonts w:ascii="Times New Roman" w:hAnsi="Times New Roman"/>
          <w:sz w:val="28"/>
          <w:szCs w:val="28"/>
          <w:rtl w:val="0"/>
        </w:rPr>
        <w:t>20%</w:t>
      </w:r>
      <w:r>
        <w:rPr>
          <w:rFonts w:ascii="Times New Roman" w:cs="Times New Roman" w:hAnsi="Times New Roman" w:eastAsia="Times New Roman"/>
          <w:sz w:val="28"/>
          <w:szCs w:val="28"/>
        </w:rPr>
        <w:br w:type="textWrapping"/>
      </w:r>
      <w:r>
        <w:rPr>
          <w:rFonts w:ascii="Times New Roman" w:hAnsi="Times New Roman"/>
          <w:sz w:val="28"/>
          <w:szCs w:val="28"/>
          <w:rtl w:val="0"/>
        </w:rPr>
        <w:t xml:space="preserve">40 </w:t>
      </w:r>
      <w:r>
        <w:rPr>
          <w:rFonts w:ascii="Times New Roman" w:hAnsi="Times New Roman" w:hint="default"/>
          <w:sz w:val="28"/>
          <w:szCs w:val="28"/>
          <w:rtl w:val="0"/>
        </w:rPr>
        <w:t xml:space="preserve">× </w:t>
      </w:r>
      <w:r>
        <w:rPr>
          <w:rFonts w:ascii="Times New Roman" w:hAnsi="Times New Roman"/>
          <w:sz w:val="28"/>
          <w:szCs w:val="28"/>
          <w:rtl w:val="0"/>
        </w:rPr>
        <w:t xml:space="preserve">0,8 = 32 </w:t>
      </w:r>
      <w:r>
        <w:rPr>
          <w:rFonts w:ascii="Times New Roman" w:hAnsi="Times New Roman" w:hint="default"/>
          <w:sz w:val="28"/>
          <w:szCs w:val="28"/>
          <w:rtl w:val="0"/>
        </w:rPr>
        <w:t>кг</w:t>
      </w:r>
      <w:r>
        <w:rPr>
          <w:rFonts w:ascii="Times New Roman" w:hAnsi="Times New Roman"/>
          <w:sz w:val="28"/>
          <w:szCs w:val="28"/>
          <w:rtl w:val="0"/>
        </w:rPr>
        <w:t>/</w:t>
      </w:r>
      <w:r>
        <w:rPr>
          <w:rFonts w:ascii="Times New Roman" w:hAnsi="Times New Roman" w:hint="default"/>
          <w:sz w:val="28"/>
          <w:szCs w:val="28"/>
          <w:rtl w:val="0"/>
        </w:rPr>
        <w:t>га д</w:t>
      </w:r>
      <w:r>
        <w:rPr>
          <w:rFonts w:ascii="Times New Roman" w:hAnsi="Times New Roman"/>
          <w:sz w:val="28"/>
          <w:szCs w:val="28"/>
          <w:rtl w:val="0"/>
        </w:rPr>
        <w:t>.</w:t>
      </w:r>
      <w:r>
        <w:rPr>
          <w:rFonts w:ascii="Times New Roman" w:hAnsi="Times New Roman" w:hint="default"/>
          <w:sz w:val="28"/>
          <w:szCs w:val="28"/>
          <w:rtl w:val="0"/>
        </w:rPr>
        <w:t>р</w:t>
      </w:r>
      <w:r>
        <w:rPr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99" w:line="240" w:lineRule="auto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Відповідь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: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after="240" w:line="240" w:lineRule="auto"/>
        <w:rPr>
          <w:rStyle w:val="Немає"/>
          <w:rFonts w:ascii="Times New Roman" w:cs="Times New Roman" w:hAnsi="Times New Roman" w:eastAsia="Times New Roman"/>
          <w:b w:val="1"/>
          <w:bCs w:val="1"/>
          <w:sz w:val="24"/>
          <w:szCs w:val="24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Норма добрив під озиму пшеницю нормативним методом становить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:</w:t>
      </w:r>
      <w:r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  <w:br w:type="textWrapping"/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 xml:space="preserve">N63P60K32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кг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/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га д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.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</w:rPr>
        <w:t>р</w:t>
      </w:r>
      <w:r>
        <w:rPr>
          <w:rFonts w:ascii="Times New Roman" w:hAnsi="Times New Roman"/>
          <w:b w:val="1"/>
          <w:bCs w:val="1"/>
          <w:sz w:val="28"/>
          <w:szCs w:val="28"/>
          <w:rtl w:val="0"/>
        </w:rPr>
        <w:t>.</w:t>
      </w:r>
    </w:p>
    <w:p>
      <w:pPr>
        <w:pStyle w:val="Обычный"/>
        <w:spacing w:after="0"/>
        <w:jc w:val="both"/>
      </w:pPr>
    </w:p>
    <w:p>
      <w:pPr>
        <w:pStyle w:val="Обычный"/>
        <w:spacing w:after="0"/>
        <w:ind w:firstLine="880"/>
        <w:jc w:val="center"/>
        <w:rPr>
          <w:rStyle w:val="Hyperlink.0"/>
          <w:rFonts w:ascii="Times New Roman" w:cs="Times New Roman" w:hAnsi="Times New Roman" w:eastAsia="Times New Roman"/>
          <w:sz w:val="28"/>
          <w:szCs w:val="28"/>
        </w:rPr>
      </w:pPr>
      <w:r>
        <w:rPr>
          <w:rStyle w:val="Немає"/>
          <w:rFonts w:ascii="Times New Roman" w:hAnsi="Times New Roman" w:hint="default"/>
          <w:b w:val="1"/>
          <w:bCs w:val="1"/>
          <w:sz w:val="28"/>
          <w:szCs w:val="28"/>
          <w:rtl w:val="0"/>
        </w:rPr>
        <w:t>Контрольні запитання для перевірки засвоєння знань</w:t>
      </w:r>
      <w:r>
        <w:rPr>
          <w:rStyle w:val="Немає"/>
          <w:rFonts w:ascii="Times New Roman" w:hAnsi="Times New Roman"/>
          <w:b w:val="1"/>
          <w:bCs w:val="1"/>
          <w:sz w:val="28"/>
          <w:szCs w:val="28"/>
          <w:rtl w:val="0"/>
        </w:rPr>
        <w:t>:</w:t>
      </w:r>
    </w:p>
    <w:p>
      <w:pPr>
        <w:pStyle w:val="Обычный"/>
        <w:numPr>
          <w:ilvl w:val="0"/>
          <w:numId w:val="9"/>
        </w:numPr>
        <w:spacing w:after="0"/>
        <w:jc w:val="both"/>
        <w:rPr>
          <w:sz w:val="28"/>
          <w:szCs w:val="28"/>
        </w:rPr>
      </w:pP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Які є методи визначення норм добрив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?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Style w:val="Hyperlink.0"/>
          <w:rFonts w:ascii="Times New Roman" w:cs="Times New Roman" w:hAnsi="Times New Roman" w:eastAsia="Times New Roman"/>
          <w:sz w:val="28"/>
          <w:szCs w:val="28"/>
        </w:rPr>
      </w:pP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 xml:space="preserve">Нормативний 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(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статистичний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)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метод</w:t>
      </w:r>
      <w:r>
        <w:rPr>
          <w:rStyle w:val="Hyperlink.0"/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Балансовий метод</w:t>
      </w:r>
      <w:r>
        <w:rPr>
          <w:rStyle w:val="Hyperlink.0"/>
          <w:rFonts w:ascii="Times New Roman" w:hAnsi="Times New Roman"/>
          <w:sz w:val="28"/>
          <w:szCs w:val="28"/>
          <w:rtl w:val="0"/>
          <w:lang w:val="en-US"/>
        </w:rPr>
        <w:t>,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 xml:space="preserve">Аналітичний 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(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науковий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)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метод</w:t>
      </w:r>
      <w:r>
        <w:rPr>
          <w:rStyle w:val="Hyperlink.0"/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Експериментальний метод</w:t>
      </w:r>
      <w:r>
        <w:rPr>
          <w:rStyle w:val="Hyperlink.0"/>
          <w:rFonts w:ascii="Times New Roman" w:hAnsi="Times New Roman"/>
          <w:sz w:val="28"/>
          <w:szCs w:val="28"/>
          <w:rtl w:val="0"/>
          <w:lang w:val="en-US"/>
        </w:rPr>
        <w:t xml:space="preserve">,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Інтегрований метод</w:t>
      </w:r>
      <w:r>
        <w:rPr>
          <w:rStyle w:val="Hyperlink.0"/>
          <w:rFonts w:ascii="Times New Roman" w:hAnsi="Times New Roman"/>
          <w:sz w:val="28"/>
          <w:szCs w:val="28"/>
          <w:rtl w:val="0"/>
          <w:lang w:val="en-US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rPr>
          <w:rStyle w:val="Hyperlink.0"/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ind w:firstLine="1318"/>
        <w:jc w:val="both"/>
        <w:rPr>
          <w:rStyle w:val="Hyperlink.0"/>
          <w:rFonts w:ascii="Times New Roman" w:cs="Times New Roman" w:hAnsi="Times New Roman" w:eastAsia="Times New Roman"/>
          <w:sz w:val="28"/>
          <w:szCs w:val="28"/>
        </w:rPr>
      </w:pP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2.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Які особливості </w:t>
      </w:r>
      <w:r>
        <w:rPr>
          <w:rStyle w:val="Hyperlink.0"/>
          <w:rFonts w:ascii="Times New Roman" w:cs="Times New Roman" w:hAnsi="Times New Roman" w:eastAsia="Times New Roman"/>
          <w:sz w:val="28"/>
          <w:szCs w:val="28"/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sz w:val="28"/>
          <w:szCs w:val="28"/>
        </w:rPr>
        <w:instrText xml:space="preserve"> HYPERLINK "https://vukladach.pp.ua/MyWeb/manual/pidruchnuku13122023/Praktukym%20Agroximija/Glosariu/Glosariu.htm#%25D0%25BF%25D1%2580%25D0%25B8%25D0%25BF%25D0%25BE%25D1%2581%25D1%2596%25D0%25B2%25D0%25BD%25D0%25B5_%25D1%2583%25D0%25B4%25D0%25BE%25D0%25B1%25D1%2580%25D0%25B5%25D0%25BD%25D0%25BD%25D1%258F"</w:instrText>
      </w:r>
      <w:r>
        <w:rPr>
          <w:rStyle w:val="Hyperlink.0"/>
          <w:rFonts w:ascii="Times New Roman" w:cs="Times New Roman" w:hAnsi="Times New Roman" w:eastAsia="Times New Roman"/>
          <w:sz w:val="28"/>
          <w:szCs w:val="28"/>
        </w:rPr>
        <w:fldChar w:fldCharType="separate" w:fldLock="0"/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припосівного удобрення</w:t>
      </w:r>
      <w:r>
        <w:rPr/>
        <w:fldChar w:fldCharType="end" w:fldLock="0"/>
      </w:r>
      <w:r>
        <w:rPr>
          <w:rStyle w:val="Hyperlink.0"/>
          <w:rFonts w:ascii="Times New Roman" w:hAnsi="Times New Roman"/>
          <w:sz w:val="28"/>
          <w:szCs w:val="28"/>
          <w:rtl w:val="0"/>
        </w:rPr>
        <w:t>?</w:t>
      </w:r>
    </w:p>
    <w:p>
      <w:pPr>
        <w:pStyle w:val="Типовий"/>
        <w:numPr>
          <w:ilvl w:val="0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Добрива закладаються у рядок разом із насінням або у суміжні борозни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numPr>
          <w:ilvl w:val="0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Азотні добрива вносяться помірно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щоб не “спалити” насіння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numPr>
          <w:ilvl w:val="0"/>
          <w:numId w:val="10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Фосфорні та калійні добрива добре розкладаються повільно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сприяють розвитку кореневої системи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jc w:val="left"/>
        <w:rPr>
          <w:rStyle w:val="Hyperlink.0"/>
          <w:rFonts w:ascii="Times New Roman" w:cs="Times New Roman" w:hAnsi="Times New Roman" w:eastAsia="Times New Roman"/>
          <w:sz w:val="28"/>
          <w:szCs w:val="28"/>
        </w:rPr>
      </w:pP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Найбільш ефективні для культур із слабкою кореневою системою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jc w:val="left"/>
        <w:rPr>
          <w:rStyle w:val="Hyperlink.0"/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/>
        <w:ind w:firstLine="1318"/>
        <w:jc w:val="both"/>
        <w:rPr>
          <w:rStyle w:val="Hyperlink.0"/>
          <w:rFonts w:ascii="Times New Roman" w:cs="Times New Roman" w:hAnsi="Times New Roman" w:eastAsia="Times New Roman"/>
          <w:sz w:val="28"/>
          <w:szCs w:val="28"/>
        </w:rPr>
      </w:pP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3.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Які особливості підживлення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?</w:t>
      </w:r>
    </w:p>
    <w:p>
      <w:pPr>
        <w:pStyle w:val="Типовий"/>
        <w:numPr>
          <w:ilvl w:val="0"/>
          <w:numId w:val="11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 xml:space="preserve">Використовуються водорозчинні добрива 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(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азотні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фосфорні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калійні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мікроелементи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).</w:t>
      </w:r>
    </w:p>
    <w:p>
      <w:pPr>
        <w:pStyle w:val="Типовий"/>
        <w:numPr>
          <w:ilvl w:val="0"/>
          <w:numId w:val="11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Можливі різні способи внесення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: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 xml:space="preserve">обприскування по листу 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(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листове підживлення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),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 xml:space="preserve">полив під корінь 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(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кореневе підживлення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).</w:t>
      </w:r>
    </w:p>
    <w:p>
      <w:pPr>
        <w:pStyle w:val="Типовий"/>
        <w:numPr>
          <w:ilvl w:val="0"/>
          <w:numId w:val="11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 xml:space="preserve">Планується за фазами розвитку культури 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(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 xml:space="preserve">особливо критично для озимої пшениці – весняне підживлення 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N).</w:t>
      </w:r>
    </w:p>
    <w:p>
      <w:pPr>
        <w:pStyle w:val="Типовий"/>
        <w:numPr>
          <w:ilvl w:val="0"/>
          <w:numId w:val="11"/>
        </w:numPr>
        <w:suppressAutoHyphens w:val="1"/>
        <w:spacing w:before="0" w:line="240" w:lineRule="auto"/>
        <w:jc w:val="left"/>
        <w:rPr>
          <w:rFonts w:ascii="Times Roman" w:hAnsi="Times Roman" w:hint="default"/>
          <w:sz w:val="28"/>
          <w:szCs w:val="28"/>
        </w:rPr>
      </w:pP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Дозування менше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ніж при основному внесенні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, </w:t>
      </w:r>
      <w:r>
        <w:rPr>
          <w:rStyle w:val="Hyperlink.0"/>
          <w:rFonts w:ascii="Times New Roman" w:hAnsi="Times New Roman" w:hint="default"/>
          <w:sz w:val="28"/>
          <w:szCs w:val="28"/>
          <w:rtl w:val="0"/>
        </w:rPr>
        <w:t>але впливає безпосередньо на урожайність</w:t>
      </w:r>
      <w:r>
        <w:rPr>
          <w:rStyle w:val="Hyperlink.0"/>
          <w:rFonts w:ascii="Times New Roman" w:hAnsi="Times New Roman"/>
          <w:sz w:val="28"/>
          <w:szCs w:val="28"/>
          <w:rtl w:val="0"/>
        </w:rPr>
        <w:t>.</w:t>
      </w:r>
    </w:p>
    <w:p>
      <w:pPr>
        <w:pStyle w:val="Типовий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1"/>
        <w:spacing w:before="0" w:line="240" w:lineRule="auto"/>
        <w:jc w:val="left"/>
        <w:rPr>
          <w:rStyle w:val="Hyperlink.0"/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Обычный"/>
        <w:spacing w:after="0" w:line="240" w:lineRule="auto"/>
        <w:ind w:left="360" w:firstLine="0"/>
        <w:jc w:val="both"/>
        <w:rPr>
          <w:rStyle w:val="Hyperlink.0"/>
          <w:rFonts w:ascii="Times New Roman" w:cs="Times New Roman" w:hAnsi="Times New Roman" w:eastAsia="Times New Roman"/>
          <w:sz w:val="28"/>
          <w:szCs w:val="28"/>
        </w:rPr>
      </w:pPr>
      <w:r>
        <w:rPr>
          <w:rStyle w:val="Hyperlink.0"/>
          <w:rFonts w:ascii="Times New Roman" w:hAnsi="Times New Roman"/>
          <w:sz w:val="28"/>
          <w:szCs w:val="28"/>
          <w:rtl w:val="0"/>
        </w:rPr>
        <w:t xml:space="preserve">                                        </w:t>
      </w:r>
    </w:p>
    <w:p>
      <w:pPr>
        <w:pStyle w:val="Обычный"/>
        <w:spacing w:after="0" w:line="240" w:lineRule="auto"/>
        <w:ind w:left="360" w:firstLine="0"/>
        <w:jc w:val="center"/>
      </w:pPr>
      <w:r>
        <w:rPr>
          <w:rStyle w:val="Hyperlink.0"/>
          <w:rFonts w:ascii="Times New Roman" w:cs="Times New Roman" w:hAnsi="Times New Roman" w:eastAsia="Times New Roman"/>
          <w:sz w:val="28"/>
          <w:szCs w:val="28"/>
        </w:rPr>
      </w:r>
    </w:p>
    <w:sectPr>
      <w:headerReference w:type="default" r:id="rId4"/>
      <w:footerReference w:type="default" r:id="rId5"/>
      <w:pgSz w:w="11900" w:h="16840" w:orient="portrait"/>
      <w:pgMar w:top="1440" w:right="866" w:bottom="1440" w:left="92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Times Roman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и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Імпортований стиль 1"/>
  </w:abstractNum>
  <w:abstractNum w:abstractNumId="1">
    <w:multiLevelType w:val="hybridMultilevel"/>
    <w:styleLink w:val="Імпортований стиль 1"/>
    <w:lvl w:ilvl="0">
      <w:start w:val="1"/>
      <w:numFmt w:val="decimal"/>
      <w:suff w:val="nothing"/>
      <w:lvlText w:val="%1."/>
      <w:lvlJc w:val="left"/>
      <w:pPr>
        <w:ind w:left="14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nothing"/>
      <w:lvlText w:val="%2."/>
      <w:lvlJc w:val="left"/>
      <w:pPr>
        <w:ind w:left="14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3."/>
      <w:lvlJc w:val="left"/>
      <w:pPr>
        <w:ind w:left="14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4."/>
      <w:lvlJc w:val="left"/>
      <w:pPr>
        <w:ind w:left="14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5."/>
      <w:lvlJc w:val="left"/>
      <w:pPr>
        <w:ind w:left="14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6."/>
      <w:lvlJc w:val="left"/>
      <w:pPr>
        <w:ind w:left="14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7."/>
      <w:lvlJc w:val="left"/>
      <w:pPr>
        <w:ind w:left="14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8."/>
      <w:lvlJc w:val="left"/>
      <w:pPr>
        <w:ind w:left="14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9."/>
      <w:lvlJc w:val="left"/>
      <w:pPr>
        <w:ind w:left="140" w:hanging="1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Номери"/>
  </w:abstractNum>
  <w:abstractNum w:abstractNumId="3">
    <w:multiLevelType w:val="hybridMultilevel"/>
    <w:styleLink w:val="Номери"/>
    <w:lvl w:ilvl="0">
      <w:start w:val="1"/>
      <w:numFmt w:val="decimal"/>
      <w:suff w:val="tab"/>
      <w:lvlText w:val="%1."/>
      <w:lvlJc w:val="left"/>
      <w:pPr>
        <w:tabs>
          <w:tab w:val="num" w:pos="671"/>
        </w:tabs>
        <w:ind w:left="232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1471"/>
        </w:tabs>
        <w:ind w:left="1032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num" w:pos="2271"/>
        </w:tabs>
        <w:ind w:left="1832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71"/>
        </w:tabs>
        <w:ind w:left="2632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num" w:pos="3871"/>
        </w:tabs>
        <w:ind w:left="3432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num" w:pos="4671"/>
        </w:tabs>
        <w:ind w:left="4232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471"/>
        </w:tabs>
        <w:ind w:left="5032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num" w:pos="6271"/>
        </w:tabs>
        <w:ind w:left="5832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num" w:pos="7071"/>
        </w:tabs>
        <w:ind w:left="6632" w:firstLine="20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Маркери"/>
  </w:abstractNum>
  <w:abstractNum w:abstractNumId="5">
    <w:multiLevelType w:val="hybridMultilevel"/>
    <w:styleLink w:val="Маркери"/>
    <w:lvl w:ilvl="0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720" w:hanging="500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023" w:hanging="583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243" w:hanging="583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63" w:hanging="583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83" w:hanging="583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903" w:hanging="583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123" w:hanging="583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343" w:hanging="583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563" w:hanging="583"/>
      </w:pPr>
      <w:rPr>
        <w:rFonts w:ascii="Times Roman" w:cs="Times Roman" w:hAnsi="Times Roman" w:eastAsia="Times Roman"/>
        <w:b w:val="1"/>
        <w:bCs w:val="1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6">
    <w:multiLevelType w:val="hybridMultilevel"/>
    <w:numStyleLink w:val="Маркери.0"/>
  </w:abstractNum>
  <w:abstractNum w:abstractNumId="7">
    <w:multiLevelType w:val="hybridMultilevel"/>
    <w:styleLink w:val="Маркери.0"/>
    <w:lvl w:ilvl="0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720" w:hanging="500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02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24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46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68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90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12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34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20"/>
          <w:tab w:val="left" w:pos="144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563" w:hanging="583"/>
      </w:pPr>
      <w:rPr>
        <w:rFonts w:ascii="Times Roman" w:cs="Times Roman" w:hAnsi="Times Roman" w:eastAsia="Times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7"/>
  </w:num>
  <w:num w:numId="8">
    <w:abstractNumId w:val="6"/>
  </w:num>
  <w:num w:numId="9">
    <w:abstractNumId w:val="2"/>
    <w:lvlOverride w:ilvl="0">
      <w:startOverride w:val="1"/>
      <w:lvl w:ilvl="0">
        <w:start w:val="1"/>
        <w:numFmt w:val="decimal"/>
        <w:suff w:val="tab"/>
        <w:lvlText w:val="%1."/>
        <w:lvlJc w:val="left"/>
        <w:pPr>
          <w:tabs>
            <w:tab w:val="num" w:pos="1550"/>
          </w:tabs>
          <w:ind w:left="232" w:firstLine="10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2."/>
        <w:lvlJc w:val="left"/>
        <w:pPr>
          <w:tabs>
            <w:tab w:val="num" w:pos="2350"/>
          </w:tabs>
          <w:ind w:left="1032" w:firstLine="10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tab"/>
        <w:lvlText w:val="%3."/>
        <w:lvlJc w:val="left"/>
        <w:pPr>
          <w:tabs>
            <w:tab w:val="num" w:pos="3150"/>
          </w:tabs>
          <w:ind w:left="1832" w:firstLine="10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tabs>
            <w:tab w:val="num" w:pos="3950"/>
          </w:tabs>
          <w:ind w:left="2632" w:firstLine="10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tab"/>
        <w:lvlText w:val="%5."/>
        <w:lvlJc w:val="left"/>
        <w:pPr>
          <w:tabs>
            <w:tab w:val="num" w:pos="4750"/>
          </w:tabs>
          <w:ind w:left="3432" w:firstLine="10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tab"/>
        <w:lvlText w:val="%6."/>
        <w:lvlJc w:val="left"/>
        <w:pPr>
          <w:tabs>
            <w:tab w:val="num" w:pos="5550"/>
          </w:tabs>
          <w:ind w:left="4232" w:firstLine="10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tabs>
            <w:tab w:val="num" w:pos="6350"/>
          </w:tabs>
          <w:ind w:left="5032" w:firstLine="10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tab"/>
        <w:lvlText w:val="%8."/>
        <w:lvlJc w:val="left"/>
        <w:pPr>
          <w:tabs>
            <w:tab w:val="num" w:pos="7150"/>
          </w:tabs>
          <w:ind w:left="5832" w:firstLine="10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tab"/>
        <w:lvlText w:val="%9."/>
        <w:lvlJc w:val="left"/>
        <w:pPr>
          <w:tabs>
            <w:tab w:val="num" w:pos="7950"/>
          </w:tabs>
          <w:ind w:left="6632" w:firstLine="10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6"/>
    <w:lvlOverride w:ilvl="0">
      <w:lvl w:ilvl="0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72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94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116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138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160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182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204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226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2480" w:hanging="500"/>
        </w:pPr>
        <w:rPr>
          <w:rFonts w:ascii="Times Roman" w:cs="Times Roman" w:hAnsi="Times Roman" w:eastAsia="Times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>
    <w:abstractNumId w:val="6"/>
    <w:lvlOverride w:ilvl="0">
      <w:lvl w:ilvl="0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1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tabs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7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13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19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25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31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37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43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tabs>
            <w:tab w:val="left" w:pos="720"/>
            <w:tab w:val="left" w:pos="1440"/>
            <w:tab w:val="left" w:pos="2160"/>
            <w:tab w:val="left" w:pos="2880"/>
            <w:tab w:val="left" w:pos="3600"/>
            <w:tab w:val="left" w:pos="4320"/>
            <w:tab w:val="left" w:pos="5040"/>
            <w:tab w:val="left" w:pos="5760"/>
            <w:tab w:val="left" w:pos="6480"/>
            <w:tab w:val="left" w:pos="7200"/>
            <w:tab w:val="left" w:pos="7920"/>
            <w:tab w:val="left" w:pos="8640"/>
            <w:tab w:val="left" w:pos="9360"/>
            <w:tab w:val="left" w:pos="10080"/>
          </w:tabs>
          <w:ind w:left="49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українська" w:val="‘“(〔[{〈《「『【⦅〘〖«〝︵︷︹︻︽︿﹁﹃﹇﹙﹛﹝｢"/>
  <w:noLineBreaksBefore w:lang="українська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и">
    <w:name w:val="Колонтитули"/>
    <w:next w:val="Колонтитули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Імпортований стиль 1">
    <w:name w:val="Імпортований стиль 1"/>
    <w:pPr>
      <w:numPr>
        <w:numId w:val="1"/>
      </w:numPr>
    </w:pPr>
  </w:style>
  <w:style w:type="paragraph" w:styleId="Заголовок 1">
    <w:name w:val="Заголовок 1"/>
    <w:next w:val="Обычный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0"/>
    </w:pPr>
    <w:rPr>
      <w:rFonts w:ascii="Times New Roman" w:cs="Arial Unicode MS" w:hAnsi="Times New Roman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Номери">
    <w:name w:val="Номери"/>
    <w:pPr>
      <w:numPr>
        <w:numId w:val="3"/>
      </w:numPr>
    </w:pPr>
  </w:style>
  <w:style w:type="character" w:styleId="Немає">
    <w:name w:val="Немає"/>
  </w:style>
  <w:style w:type="character" w:styleId="Hyperlink.0">
    <w:name w:val="Hyperlink.0"/>
    <w:basedOn w:val="Немає"/>
    <w:next w:val="Hyperlink.0"/>
    <w:rPr>
      <w:rFonts w:ascii="Times New Roman" w:cs="Times New Roman" w:hAnsi="Times New Roman" w:eastAsia="Times New Roman"/>
      <w:sz w:val="28"/>
      <w:szCs w:val="28"/>
    </w:rPr>
  </w:style>
  <w:style w:type="paragraph" w:styleId="Типовий">
    <w:name w:val="Типовий"/>
    <w:next w:val="Типови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numbering" w:styleId="Маркери">
    <w:name w:val="Маркери"/>
    <w:pPr>
      <w:numPr>
        <w:numId w:val="5"/>
      </w:numPr>
    </w:pPr>
  </w:style>
  <w:style w:type="numbering" w:styleId="Маркери.0">
    <w:name w:val="Маркери.0"/>
    <w:pPr>
      <w:numPr>
        <w:numId w:val="7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