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5F9" w:rsidRDefault="007325F9" w:rsidP="007325F9">
      <w:pPr>
        <w:widowControl w:val="0"/>
        <w:autoSpaceDE w:val="0"/>
        <w:autoSpaceDN w:val="0"/>
        <w:adjustRightInd w:val="0"/>
        <w:spacing w:line="276" w:lineRule="auto"/>
        <w:rPr>
          <w:b/>
          <w:sz w:val="32"/>
          <w:szCs w:val="32"/>
        </w:rPr>
      </w:pPr>
      <w:r>
        <w:rPr>
          <w:b/>
          <w:sz w:val="32"/>
          <w:szCs w:val="32"/>
        </w:rPr>
        <w:t>§7.4. Поливні машини</w:t>
      </w:r>
    </w:p>
    <w:p w:rsidR="007325F9" w:rsidRDefault="007325F9" w:rsidP="007325F9">
      <w:pPr>
        <w:spacing w:line="276" w:lineRule="auto"/>
        <w:ind w:firstLine="709"/>
        <w:jc w:val="both"/>
        <w:rPr>
          <w:sz w:val="32"/>
          <w:szCs w:val="32"/>
        </w:rPr>
      </w:pPr>
      <w:r>
        <w:rPr>
          <w:sz w:val="32"/>
          <w:szCs w:val="32"/>
        </w:rPr>
        <w:t xml:space="preserve">До поливних машин відносять дощувальні установки, які зручно застосовувати на ділянках, що розташовані поблизу магістральних каналів, річок, ставків та ін. У технологічних процесах зрошення дощуванням, поливні машини, нині, застосовують із гнучкими поливними трубопроводами, виготовленими із пластичних матеріалів або просоченої гумової тканини та </w:t>
      </w:r>
      <w:proofErr w:type="spellStart"/>
      <w:r>
        <w:rPr>
          <w:sz w:val="32"/>
          <w:szCs w:val="32"/>
        </w:rPr>
        <w:t>водовипусками</w:t>
      </w:r>
      <w:proofErr w:type="spellEnd"/>
      <w:r>
        <w:rPr>
          <w:sz w:val="32"/>
          <w:szCs w:val="32"/>
        </w:rPr>
        <w:t xml:space="preserve"> (рис. 112).</w:t>
      </w:r>
    </w:p>
    <w:p w:rsidR="007325F9" w:rsidRDefault="007325F9" w:rsidP="007325F9">
      <w:pPr>
        <w:spacing w:line="276" w:lineRule="auto"/>
        <w:ind w:firstLine="709"/>
        <w:jc w:val="both"/>
        <w:rPr>
          <w:sz w:val="32"/>
          <w:szCs w:val="32"/>
        </w:rPr>
      </w:pPr>
      <w:r>
        <w:rPr>
          <w:sz w:val="32"/>
          <w:szCs w:val="32"/>
        </w:rPr>
        <w:t xml:space="preserve">За конструктивними особливостями поливні машини розрізняють за способом розкладки й збирання трубопроводів — намотування на барабан, що обертається, пошарове укладання, підвіска. </w:t>
      </w:r>
    </w:p>
    <w:p w:rsidR="007325F9" w:rsidRDefault="007325F9" w:rsidP="007325F9">
      <w:pPr>
        <w:spacing w:line="276" w:lineRule="auto"/>
        <w:jc w:val="center"/>
        <w:rPr>
          <w:sz w:val="16"/>
          <w:szCs w:val="16"/>
        </w:rPr>
      </w:pPr>
    </w:p>
    <w:p w:rsidR="007325F9" w:rsidRDefault="007325F9" w:rsidP="007325F9">
      <w:pPr>
        <w:spacing w:line="276" w:lineRule="auto"/>
        <w:jc w:val="center"/>
        <w:rPr>
          <w:sz w:val="32"/>
          <w:szCs w:val="32"/>
        </w:rPr>
      </w:pPr>
      <w:r>
        <w:rPr>
          <w:noProof/>
          <w:sz w:val="32"/>
          <w:szCs w:val="32"/>
          <w:lang w:val="ru-RU" w:eastAsia="ru-RU"/>
        </w:rPr>
        <w:drawing>
          <wp:inline distT="0" distB="0" distL="0" distR="0">
            <wp:extent cx="5057140" cy="3275965"/>
            <wp:effectExtent l="114300" t="95250" r="124460" b="95885"/>
            <wp:docPr id="203" name="Рисунок 203"/>
            <wp:cNvGraphicFramePr/>
            <a:graphic xmlns:a="http://schemas.openxmlformats.org/drawingml/2006/main">
              <a:graphicData uri="http://schemas.openxmlformats.org/drawingml/2006/picture">
                <pic:pic xmlns:pic="http://schemas.openxmlformats.org/drawingml/2006/picture">
                  <pic:nvPicPr>
                    <pic:cNvPr id="203" name="Рисунок 203"/>
                    <pic:cNvPicPr/>
                  </pic:nvPicPr>
                  <pic:blipFill>
                    <a:blip r:embed="rId6" cstate="print"/>
                    <a:srcRect/>
                    <a:stretch>
                      <a:fillRect/>
                    </a:stretch>
                  </pic:blipFill>
                  <pic:spPr bwMode="auto">
                    <a:xfrm>
                      <a:off x="0" y="0"/>
                      <a:ext cx="4859655" cy="3081020"/>
                    </a:xfrm>
                    <a:prstGeom prst="rect">
                      <a:avLst/>
                    </a:prstGeom>
                    <a:solidFill>
                      <a:srgbClr val="FFFFFF">
                        <a:shade val="85000"/>
                      </a:srgbClr>
                    </a:solidFill>
                    <a:ln w="88900" cap="sq">
                      <a:solidFill>
                        <a:schemeClr val="tx2">
                          <a:lumMod val="20000"/>
                          <a:lumOff val="8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325F9" w:rsidRDefault="007325F9" w:rsidP="007325F9">
      <w:pPr>
        <w:spacing w:before="240" w:line="276" w:lineRule="auto"/>
        <w:ind w:left="1701" w:hanging="1276"/>
        <w:rPr>
          <w:sz w:val="32"/>
          <w:szCs w:val="32"/>
        </w:rPr>
      </w:pPr>
      <w:r>
        <w:rPr>
          <w:sz w:val="32"/>
          <w:szCs w:val="32"/>
        </w:rPr>
        <w:t>Рис. 114. Шлангова дощувальна установка УД-2500</w:t>
      </w:r>
    </w:p>
    <w:p w:rsidR="007325F9" w:rsidRDefault="007325F9" w:rsidP="007325F9">
      <w:pPr>
        <w:spacing w:line="276" w:lineRule="auto"/>
        <w:ind w:firstLine="709"/>
        <w:rPr>
          <w:sz w:val="16"/>
          <w:szCs w:val="16"/>
        </w:rPr>
      </w:pPr>
    </w:p>
    <w:p w:rsidR="007325F9" w:rsidRDefault="007325F9" w:rsidP="007325F9">
      <w:pPr>
        <w:spacing w:line="276" w:lineRule="auto"/>
        <w:ind w:firstLine="709"/>
        <w:rPr>
          <w:sz w:val="32"/>
          <w:szCs w:val="32"/>
        </w:rPr>
      </w:pPr>
      <w:r>
        <w:rPr>
          <w:sz w:val="32"/>
          <w:szCs w:val="32"/>
        </w:rPr>
        <w:t>Ця поливна машина призначена для штучного зрошування дощуванням різних сільськогосподарських культур.</w:t>
      </w:r>
    </w:p>
    <w:p w:rsidR="007325F9" w:rsidRDefault="007325F9" w:rsidP="007325F9">
      <w:pPr>
        <w:spacing w:line="276" w:lineRule="auto"/>
        <w:ind w:firstLine="709"/>
        <w:rPr>
          <w:sz w:val="32"/>
          <w:szCs w:val="32"/>
        </w:rPr>
      </w:pPr>
      <w:r>
        <w:rPr>
          <w:sz w:val="32"/>
          <w:szCs w:val="32"/>
        </w:rPr>
        <w:t>Технічна характеристика УД-2500:</w:t>
      </w:r>
    </w:p>
    <w:tbl>
      <w:tblPr>
        <w:tblStyle w:val="2"/>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0" w:type="dxa"/>
          <w:bottom w:w="28" w:type="dxa"/>
          <w:right w:w="0" w:type="dxa"/>
        </w:tblCellMar>
        <w:tblLook w:val="04A0" w:firstRow="1" w:lastRow="0" w:firstColumn="1" w:lastColumn="0" w:noHBand="0" w:noVBand="1"/>
      </w:tblPr>
      <w:tblGrid>
        <w:gridCol w:w="7649"/>
        <w:gridCol w:w="1706"/>
      </w:tblGrid>
      <w:tr w:rsidR="007325F9" w:rsidTr="007325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left"/>
              <w:rPr>
                <w:szCs w:val="28"/>
              </w:rPr>
            </w:pPr>
            <w:r>
              <w:rPr>
                <w:szCs w:val="28"/>
              </w:rPr>
              <w:t>продуктивність поливу</w:t>
            </w:r>
            <w:r>
              <w:rPr>
                <w:szCs w:val="28"/>
              </w:rPr>
              <w:br/>
              <w:t>(залежно від інтенсивності), га/год.</w:t>
            </w:r>
          </w:p>
        </w:tc>
        <w:tc>
          <w:tcPr>
            <w:tcW w:w="1582" w:type="dxa"/>
            <w:hideMark/>
          </w:tcPr>
          <w:p w:rsidR="007325F9" w:rsidRDefault="007325F9">
            <w:pPr>
              <w:spacing w:line="276" w:lineRule="auto"/>
              <w:cnfStyle w:val="100000000000" w:firstRow="1" w:lastRow="0" w:firstColumn="0" w:lastColumn="0" w:oddVBand="0" w:evenVBand="0" w:oddHBand="0" w:evenHBand="0" w:firstRowFirstColumn="0" w:firstRowLastColumn="0" w:lastRowFirstColumn="0" w:lastRowLastColumn="0"/>
              <w:rPr>
                <w:i/>
                <w:szCs w:val="28"/>
              </w:rPr>
            </w:pPr>
            <w:r>
              <w:rPr>
                <w:szCs w:val="28"/>
              </w:rPr>
              <w:t>до 0,9;</w:t>
            </w:r>
          </w:p>
        </w:tc>
      </w:tr>
      <w:tr w:rsidR="007325F9" w:rsidTr="007325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center"/>
              <w:rPr>
                <w:szCs w:val="28"/>
              </w:rPr>
            </w:pPr>
            <w:r>
              <w:rPr>
                <w:szCs w:val="28"/>
              </w:rPr>
              <w:t>швидкість руху розпилювача, м/год.</w:t>
            </w:r>
          </w:p>
        </w:tc>
        <w:tc>
          <w:tcPr>
            <w:tcW w:w="1582" w:type="dxa"/>
            <w:hideMark/>
          </w:tcPr>
          <w:p w:rsidR="007325F9" w:rsidRDefault="007325F9">
            <w:pPr>
              <w:spacing w:line="276" w:lineRule="auto"/>
              <w:cnfStyle w:val="000000100000" w:firstRow="0" w:lastRow="0" w:firstColumn="0" w:lastColumn="0" w:oddVBand="0" w:evenVBand="0" w:oddHBand="1" w:evenHBand="0" w:firstRowFirstColumn="0" w:firstRowLastColumn="0" w:lastRowFirstColumn="0" w:lastRowLastColumn="0"/>
              <w:rPr>
                <w:i/>
                <w:szCs w:val="28"/>
              </w:rPr>
            </w:pPr>
            <w:r>
              <w:rPr>
                <w:szCs w:val="28"/>
              </w:rPr>
              <w:t>10…150;</w:t>
            </w:r>
          </w:p>
        </w:tc>
      </w:tr>
      <w:tr w:rsidR="007325F9" w:rsidTr="007325F9">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center"/>
              <w:rPr>
                <w:szCs w:val="28"/>
              </w:rPr>
            </w:pPr>
            <w:r>
              <w:rPr>
                <w:szCs w:val="28"/>
              </w:rPr>
              <w:t>витрата води, м3/год.</w:t>
            </w:r>
          </w:p>
        </w:tc>
        <w:tc>
          <w:tcPr>
            <w:tcW w:w="1582" w:type="dxa"/>
            <w:hideMark/>
          </w:tcPr>
          <w:p w:rsidR="007325F9" w:rsidRDefault="007325F9">
            <w:pPr>
              <w:spacing w:line="276" w:lineRule="auto"/>
              <w:cnfStyle w:val="000000000000" w:firstRow="0" w:lastRow="0" w:firstColumn="0" w:lastColumn="0" w:oddVBand="0" w:evenVBand="0" w:oddHBand="0" w:evenHBand="0" w:firstRowFirstColumn="0" w:firstRowLastColumn="0" w:lastRowFirstColumn="0" w:lastRowLastColumn="0"/>
              <w:rPr>
                <w:i/>
                <w:szCs w:val="28"/>
              </w:rPr>
            </w:pPr>
            <w:r>
              <w:rPr>
                <w:szCs w:val="28"/>
              </w:rPr>
              <w:t>до 50;</w:t>
            </w:r>
          </w:p>
        </w:tc>
      </w:tr>
      <w:tr w:rsidR="007325F9" w:rsidTr="007325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center"/>
              <w:rPr>
                <w:szCs w:val="28"/>
              </w:rPr>
            </w:pPr>
            <w:r>
              <w:rPr>
                <w:szCs w:val="28"/>
              </w:rPr>
              <w:lastRenderedPageBreak/>
              <w:t>інтенсивність поливу, мм/хв.</w:t>
            </w:r>
          </w:p>
        </w:tc>
        <w:tc>
          <w:tcPr>
            <w:tcW w:w="1582" w:type="dxa"/>
            <w:hideMark/>
          </w:tcPr>
          <w:p w:rsidR="007325F9" w:rsidRDefault="007325F9">
            <w:pPr>
              <w:spacing w:line="276" w:lineRule="auto"/>
              <w:cnfStyle w:val="000000100000" w:firstRow="0" w:lastRow="0" w:firstColumn="0" w:lastColumn="0" w:oddVBand="0" w:evenVBand="0" w:oddHBand="1" w:evenHBand="0" w:firstRowFirstColumn="0" w:firstRowLastColumn="0" w:lastRowFirstColumn="0" w:lastRowLastColumn="0"/>
              <w:rPr>
                <w:i/>
                <w:szCs w:val="28"/>
              </w:rPr>
            </w:pPr>
            <w:r>
              <w:rPr>
                <w:szCs w:val="28"/>
              </w:rPr>
              <w:t>0,3;</w:t>
            </w:r>
          </w:p>
        </w:tc>
      </w:tr>
      <w:tr w:rsidR="007325F9" w:rsidTr="007325F9">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center"/>
              <w:rPr>
                <w:szCs w:val="28"/>
              </w:rPr>
            </w:pPr>
            <w:r>
              <w:rPr>
                <w:szCs w:val="28"/>
              </w:rPr>
              <w:t>діаметр краплин дощування, мм</w:t>
            </w:r>
          </w:p>
        </w:tc>
        <w:tc>
          <w:tcPr>
            <w:tcW w:w="1582" w:type="dxa"/>
            <w:hideMark/>
          </w:tcPr>
          <w:p w:rsidR="007325F9" w:rsidRDefault="007325F9">
            <w:pPr>
              <w:spacing w:line="276" w:lineRule="auto"/>
              <w:cnfStyle w:val="000000000000" w:firstRow="0" w:lastRow="0" w:firstColumn="0" w:lastColumn="0" w:oddVBand="0" w:evenVBand="0" w:oddHBand="0" w:evenHBand="0" w:firstRowFirstColumn="0" w:firstRowLastColumn="0" w:lastRowFirstColumn="0" w:lastRowLastColumn="0"/>
              <w:rPr>
                <w:i/>
                <w:szCs w:val="28"/>
              </w:rPr>
            </w:pPr>
            <w:r>
              <w:rPr>
                <w:szCs w:val="28"/>
              </w:rPr>
              <w:t>1,4</w:t>
            </w:r>
          </w:p>
        </w:tc>
      </w:tr>
      <w:tr w:rsidR="007325F9" w:rsidTr="007325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center"/>
              <w:rPr>
                <w:szCs w:val="28"/>
              </w:rPr>
            </w:pPr>
            <w:r>
              <w:rPr>
                <w:szCs w:val="28"/>
              </w:rPr>
              <w:t xml:space="preserve">робочий тиск на гідротурбіну, </w:t>
            </w:r>
            <w:proofErr w:type="spellStart"/>
            <w:r>
              <w:rPr>
                <w:szCs w:val="28"/>
              </w:rPr>
              <w:t>Мпа</w:t>
            </w:r>
            <w:proofErr w:type="spellEnd"/>
            <w:r>
              <w:rPr>
                <w:szCs w:val="28"/>
              </w:rPr>
              <w:t xml:space="preserve"> (</w:t>
            </w:r>
            <w:proofErr w:type="spellStart"/>
            <w:r>
              <w:rPr>
                <w:szCs w:val="28"/>
              </w:rPr>
              <w:t>атм</w:t>
            </w:r>
            <w:proofErr w:type="spellEnd"/>
            <w:r>
              <w:rPr>
                <w:szCs w:val="28"/>
              </w:rPr>
              <w:t>.):</w:t>
            </w:r>
          </w:p>
        </w:tc>
        <w:tc>
          <w:tcPr>
            <w:tcW w:w="1582" w:type="dxa"/>
          </w:tcPr>
          <w:p w:rsidR="007325F9" w:rsidRDefault="007325F9">
            <w:pPr>
              <w:spacing w:line="276" w:lineRule="auto"/>
              <w:cnfStyle w:val="000000100000" w:firstRow="0" w:lastRow="0" w:firstColumn="0" w:lastColumn="0" w:oddVBand="0" w:evenVBand="0" w:oddHBand="1" w:evenHBand="0" w:firstRowFirstColumn="0" w:firstRowLastColumn="0" w:lastRowFirstColumn="0" w:lastRowLastColumn="0"/>
              <w:rPr>
                <w:i/>
                <w:szCs w:val="28"/>
              </w:rPr>
            </w:pPr>
          </w:p>
        </w:tc>
      </w:tr>
      <w:tr w:rsidR="007325F9" w:rsidTr="007325F9">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center"/>
              <w:rPr>
                <w:szCs w:val="28"/>
              </w:rPr>
            </w:pPr>
            <w:r>
              <w:rPr>
                <w:szCs w:val="28"/>
              </w:rPr>
              <w:t>мінімальний</w:t>
            </w:r>
          </w:p>
        </w:tc>
        <w:tc>
          <w:tcPr>
            <w:tcW w:w="1582" w:type="dxa"/>
            <w:hideMark/>
          </w:tcPr>
          <w:p w:rsidR="007325F9" w:rsidRDefault="007325F9">
            <w:pPr>
              <w:spacing w:line="276" w:lineRule="auto"/>
              <w:cnfStyle w:val="000000000000" w:firstRow="0" w:lastRow="0" w:firstColumn="0" w:lastColumn="0" w:oddVBand="0" w:evenVBand="0" w:oddHBand="0" w:evenHBand="0" w:firstRowFirstColumn="0" w:firstRowLastColumn="0" w:lastRowFirstColumn="0" w:lastRowLastColumn="0"/>
              <w:rPr>
                <w:i/>
                <w:szCs w:val="28"/>
              </w:rPr>
            </w:pPr>
            <w:r>
              <w:rPr>
                <w:szCs w:val="28"/>
              </w:rPr>
              <w:t>0,2 (2)</w:t>
            </w:r>
          </w:p>
        </w:tc>
      </w:tr>
      <w:tr w:rsidR="007325F9" w:rsidTr="007325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center"/>
              <w:rPr>
                <w:szCs w:val="28"/>
              </w:rPr>
            </w:pPr>
            <w:r>
              <w:rPr>
                <w:szCs w:val="28"/>
              </w:rPr>
              <w:t>максимальний</w:t>
            </w:r>
          </w:p>
        </w:tc>
        <w:tc>
          <w:tcPr>
            <w:tcW w:w="1582" w:type="dxa"/>
            <w:hideMark/>
          </w:tcPr>
          <w:p w:rsidR="007325F9" w:rsidRDefault="007325F9">
            <w:pPr>
              <w:spacing w:line="276" w:lineRule="auto"/>
              <w:cnfStyle w:val="000000100000" w:firstRow="0" w:lastRow="0" w:firstColumn="0" w:lastColumn="0" w:oddVBand="0" w:evenVBand="0" w:oddHBand="1" w:evenHBand="0" w:firstRowFirstColumn="0" w:firstRowLastColumn="0" w:lastRowFirstColumn="0" w:lastRowLastColumn="0"/>
              <w:rPr>
                <w:szCs w:val="28"/>
              </w:rPr>
            </w:pPr>
            <w:r>
              <w:rPr>
                <w:szCs w:val="28"/>
              </w:rPr>
              <w:t>1,2 (12)</w:t>
            </w:r>
          </w:p>
        </w:tc>
      </w:tr>
      <w:tr w:rsidR="007325F9" w:rsidTr="007325F9">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center"/>
              <w:rPr>
                <w:szCs w:val="28"/>
              </w:rPr>
            </w:pPr>
            <w:r>
              <w:rPr>
                <w:szCs w:val="28"/>
              </w:rPr>
              <w:t>ширина захвату, м</w:t>
            </w:r>
          </w:p>
        </w:tc>
        <w:tc>
          <w:tcPr>
            <w:tcW w:w="1582" w:type="dxa"/>
            <w:hideMark/>
          </w:tcPr>
          <w:p w:rsidR="007325F9" w:rsidRDefault="007325F9">
            <w:pPr>
              <w:spacing w:line="276" w:lineRule="auto"/>
              <w:cnfStyle w:val="000000000000" w:firstRow="0" w:lastRow="0" w:firstColumn="0" w:lastColumn="0" w:oddVBand="0" w:evenVBand="0" w:oddHBand="0" w:evenHBand="0" w:firstRowFirstColumn="0" w:firstRowLastColumn="0" w:lastRowFirstColumn="0" w:lastRowLastColumn="0"/>
              <w:rPr>
                <w:szCs w:val="28"/>
              </w:rPr>
            </w:pPr>
            <w:r>
              <w:rPr>
                <w:szCs w:val="28"/>
              </w:rPr>
              <w:t>до 90</w:t>
            </w:r>
          </w:p>
        </w:tc>
      </w:tr>
      <w:tr w:rsidR="007325F9" w:rsidTr="007325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3" w:type="dxa"/>
            <w:hideMark/>
          </w:tcPr>
          <w:p w:rsidR="007325F9" w:rsidRDefault="007325F9" w:rsidP="0097750D">
            <w:pPr>
              <w:pStyle w:val="a3"/>
              <w:numPr>
                <w:ilvl w:val="0"/>
                <w:numId w:val="1"/>
              </w:numPr>
              <w:tabs>
                <w:tab w:val="left" w:pos="567"/>
              </w:tabs>
              <w:autoSpaceDE w:val="0"/>
              <w:autoSpaceDN w:val="0"/>
              <w:adjustRightInd w:val="0"/>
              <w:spacing w:line="276" w:lineRule="auto"/>
              <w:ind w:left="284" w:firstLine="0"/>
              <w:jc w:val="center"/>
              <w:rPr>
                <w:szCs w:val="28"/>
              </w:rPr>
            </w:pPr>
            <w:r>
              <w:rPr>
                <w:szCs w:val="28"/>
              </w:rPr>
              <w:t>маса, кг</w:t>
            </w:r>
          </w:p>
        </w:tc>
        <w:tc>
          <w:tcPr>
            <w:tcW w:w="1582" w:type="dxa"/>
            <w:hideMark/>
          </w:tcPr>
          <w:p w:rsidR="007325F9" w:rsidRDefault="007325F9">
            <w:pPr>
              <w:spacing w:line="276" w:lineRule="auto"/>
              <w:cnfStyle w:val="000000100000" w:firstRow="0" w:lastRow="0" w:firstColumn="0" w:lastColumn="0" w:oddVBand="0" w:evenVBand="0" w:oddHBand="1" w:evenHBand="0" w:firstRowFirstColumn="0" w:firstRowLastColumn="0" w:lastRowFirstColumn="0" w:lastRowLastColumn="0"/>
              <w:rPr>
                <w:szCs w:val="28"/>
              </w:rPr>
            </w:pPr>
            <w:r>
              <w:rPr>
                <w:szCs w:val="28"/>
              </w:rPr>
              <w:t>3850</w:t>
            </w:r>
          </w:p>
        </w:tc>
      </w:tr>
    </w:tbl>
    <w:p w:rsidR="007325F9" w:rsidRDefault="007325F9" w:rsidP="007325F9">
      <w:pPr>
        <w:autoSpaceDE w:val="0"/>
        <w:autoSpaceDN w:val="0"/>
        <w:adjustRightInd w:val="0"/>
        <w:spacing w:line="276" w:lineRule="auto"/>
        <w:ind w:firstLine="709"/>
        <w:jc w:val="both"/>
        <w:rPr>
          <w:b/>
          <w:i/>
          <w:sz w:val="16"/>
          <w:szCs w:val="16"/>
        </w:rPr>
      </w:pPr>
    </w:p>
    <w:p w:rsidR="007325F9" w:rsidRDefault="007325F9" w:rsidP="007325F9">
      <w:pPr>
        <w:autoSpaceDE w:val="0"/>
        <w:autoSpaceDN w:val="0"/>
        <w:adjustRightInd w:val="0"/>
        <w:spacing w:line="276" w:lineRule="auto"/>
        <w:ind w:firstLine="709"/>
        <w:jc w:val="both"/>
        <w:rPr>
          <w:sz w:val="32"/>
          <w:szCs w:val="32"/>
        </w:rPr>
      </w:pPr>
      <w:r>
        <w:rPr>
          <w:b/>
          <w:i/>
          <w:sz w:val="32"/>
          <w:szCs w:val="32"/>
        </w:rPr>
        <w:t>Навісні поливні машини</w:t>
      </w:r>
      <w:r>
        <w:rPr>
          <w:sz w:val="32"/>
          <w:szCs w:val="32"/>
        </w:rPr>
        <w:t xml:space="preserve"> навішують на колісні трактори (рис. 115), на яких змонтовані насосні станції. У поливних машинах із </w:t>
      </w:r>
      <w:r>
        <w:rPr>
          <w:b/>
          <w:i/>
          <w:sz w:val="32"/>
          <w:szCs w:val="32"/>
        </w:rPr>
        <w:t>намотуванням трубопроводу</w:t>
      </w:r>
      <w:r>
        <w:rPr>
          <w:sz w:val="32"/>
          <w:szCs w:val="32"/>
        </w:rPr>
        <w:t xml:space="preserve"> барабани 3 (котушки) (рис. 115, а) установлені з обох боків колісного трактора 1 або попереду трактора із приводом робочих механізмів від валу відбору потужності.</w:t>
      </w:r>
    </w:p>
    <w:p w:rsidR="007325F9" w:rsidRDefault="007325F9" w:rsidP="007325F9">
      <w:pPr>
        <w:spacing w:line="276" w:lineRule="auto"/>
        <w:jc w:val="center"/>
        <w:rPr>
          <w:sz w:val="16"/>
          <w:szCs w:val="16"/>
        </w:rPr>
      </w:pPr>
    </w:p>
    <w:p w:rsidR="007325F9" w:rsidRDefault="007325F9" w:rsidP="007325F9">
      <w:pPr>
        <w:spacing w:line="276" w:lineRule="auto"/>
        <w:jc w:val="center"/>
        <w:rPr>
          <w:sz w:val="32"/>
          <w:szCs w:val="32"/>
        </w:rPr>
      </w:pPr>
      <w:r>
        <w:rPr>
          <w:noProof/>
          <w:sz w:val="32"/>
          <w:szCs w:val="32"/>
          <w:lang w:val="ru-RU" w:eastAsia="ru-RU"/>
        </w:rPr>
        <w:drawing>
          <wp:inline distT="0" distB="0" distL="0" distR="0">
            <wp:extent cx="5486400" cy="2973705"/>
            <wp:effectExtent l="0" t="0" r="0" b="0"/>
            <wp:docPr id="5" name="Рисунок 5"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4" descr="7"/>
                    <pic:cNvPicPr>
                      <a:picLocks noChangeAspect="1" noChangeArrowheads="1"/>
                    </pic:cNvPicPr>
                  </pic:nvPicPr>
                  <pic:blipFill>
                    <a:blip r:embed="rId7">
                      <a:extLst>
                        <a:ext uri="{28A0092B-C50C-407E-A947-70E740481C1C}">
                          <a14:useLocalDpi xmlns:a14="http://schemas.microsoft.com/office/drawing/2010/main" val="0"/>
                        </a:ext>
                      </a:extLst>
                    </a:blip>
                    <a:srcRect l="3986" r="5646"/>
                    <a:stretch>
                      <a:fillRect/>
                    </a:stretch>
                  </pic:blipFill>
                  <pic:spPr bwMode="auto">
                    <a:xfrm>
                      <a:off x="0" y="0"/>
                      <a:ext cx="5486400" cy="2973705"/>
                    </a:xfrm>
                    <a:prstGeom prst="rect">
                      <a:avLst/>
                    </a:prstGeom>
                    <a:noFill/>
                    <a:ln>
                      <a:noFill/>
                    </a:ln>
                  </pic:spPr>
                </pic:pic>
              </a:graphicData>
            </a:graphic>
          </wp:inline>
        </w:drawing>
      </w:r>
    </w:p>
    <w:p w:rsidR="007325F9" w:rsidRDefault="007325F9" w:rsidP="007325F9">
      <w:pPr>
        <w:spacing w:before="240" w:line="276" w:lineRule="auto"/>
        <w:ind w:left="1701" w:hanging="1276"/>
        <w:rPr>
          <w:sz w:val="32"/>
          <w:szCs w:val="32"/>
        </w:rPr>
      </w:pPr>
      <w:r>
        <w:rPr>
          <w:sz w:val="32"/>
          <w:szCs w:val="32"/>
        </w:rPr>
        <w:t>Рис. 115. Схеми навісних поливних машин:</w:t>
      </w:r>
    </w:p>
    <w:p w:rsidR="007325F9" w:rsidRDefault="007325F9" w:rsidP="007325F9">
      <w:pPr>
        <w:autoSpaceDE w:val="0"/>
        <w:autoSpaceDN w:val="0"/>
        <w:adjustRightInd w:val="0"/>
        <w:spacing w:line="276" w:lineRule="auto"/>
        <w:ind w:left="284" w:right="284"/>
        <w:jc w:val="both"/>
        <w:rPr>
          <w:rFonts w:asciiTheme="minorHAnsi" w:hAnsiTheme="minorHAnsi"/>
          <w:sz w:val="28"/>
          <w:szCs w:val="28"/>
        </w:rPr>
      </w:pPr>
      <w:r>
        <w:rPr>
          <w:rFonts w:asciiTheme="minorHAnsi" w:hAnsiTheme="minorHAnsi"/>
          <w:sz w:val="28"/>
          <w:szCs w:val="28"/>
        </w:rPr>
        <w:t>а – із намотуванням;</w:t>
      </w:r>
      <w:r>
        <w:rPr>
          <w:rFonts w:asciiTheme="minorHAnsi" w:hAnsiTheme="minorHAnsi"/>
          <w:sz w:val="28"/>
          <w:szCs w:val="28"/>
        </w:rPr>
        <w:tab/>
        <w:t>б – із пошаровим укладанням; в – із підвіскою гнучкого трубопроводу;</w:t>
      </w:r>
    </w:p>
    <w:p w:rsidR="007325F9" w:rsidRDefault="007325F9" w:rsidP="007325F9">
      <w:pPr>
        <w:autoSpaceDE w:val="0"/>
        <w:autoSpaceDN w:val="0"/>
        <w:adjustRightInd w:val="0"/>
        <w:spacing w:line="276" w:lineRule="auto"/>
        <w:ind w:left="284" w:right="284"/>
        <w:jc w:val="both"/>
        <w:rPr>
          <w:rFonts w:asciiTheme="minorHAnsi" w:hAnsiTheme="minorHAnsi"/>
          <w:sz w:val="28"/>
          <w:szCs w:val="28"/>
        </w:rPr>
      </w:pPr>
      <w:r>
        <w:rPr>
          <w:rFonts w:asciiTheme="minorHAnsi" w:hAnsiTheme="minorHAnsi"/>
          <w:sz w:val="28"/>
          <w:szCs w:val="28"/>
        </w:rPr>
        <w:t>1 – трактор; 2 – гнучкий трубопровід; 3 – барабан (котушка);</w:t>
      </w:r>
      <w:r>
        <w:rPr>
          <w:rFonts w:asciiTheme="minorHAnsi" w:hAnsiTheme="minorHAnsi"/>
          <w:sz w:val="28"/>
          <w:szCs w:val="28"/>
        </w:rPr>
        <w:br/>
        <w:t>4 – приймальні вальці; 5 – каретка; 6 – контейнер; 7 – стійка;</w:t>
      </w:r>
      <w:r>
        <w:rPr>
          <w:rFonts w:asciiTheme="minorHAnsi" w:hAnsiTheme="minorHAnsi"/>
          <w:sz w:val="28"/>
          <w:szCs w:val="28"/>
        </w:rPr>
        <w:br/>
        <w:t xml:space="preserve">8 – підтримуючий канат; 9 – телескопічна колонка; 10 – відтяжка; 11 – ванти; 12 – візок; 13 – кронштейни; 14 – </w:t>
      </w:r>
      <w:proofErr w:type="spellStart"/>
      <w:r>
        <w:rPr>
          <w:rFonts w:asciiTheme="minorHAnsi" w:hAnsiTheme="minorHAnsi"/>
          <w:sz w:val="28"/>
          <w:szCs w:val="28"/>
        </w:rPr>
        <w:t>збираючий</w:t>
      </w:r>
      <w:proofErr w:type="spellEnd"/>
      <w:r>
        <w:rPr>
          <w:rFonts w:asciiTheme="minorHAnsi" w:hAnsiTheme="minorHAnsi"/>
          <w:sz w:val="28"/>
          <w:szCs w:val="28"/>
        </w:rPr>
        <w:t xml:space="preserve"> канат.</w:t>
      </w:r>
    </w:p>
    <w:p w:rsidR="007325F9" w:rsidRDefault="007325F9" w:rsidP="007325F9">
      <w:pPr>
        <w:spacing w:line="276" w:lineRule="auto"/>
        <w:jc w:val="center"/>
        <w:rPr>
          <w:sz w:val="16"/>
          <w:szCs w:val="16"/>
        </w:rPr>
      </w:pPr>
    </w:p>
    <w:p w:rsidR="007325F9" w:rsidRDefault="007325F9" w:rsidP="007325F9">
      <w:pPr>
        <w:autoSpaceDE w:val="0"/>
        <w:autoSpaceDN w:val="0"/>
        <w:adjustRightInd w:val="0"/>
        <w:spacing w:line="276" w:lineRule="auto"/>
        <w:ind w:firstLine="709"/>
        <w:jc w:val="both"/>
        <w:rPr>
          <w:sz w:val="32"/>
          <w:szCs w:val="32"/>
        </w:rPr>
      </w:pPr>
      <w:r>
        <w:rPr>
          <w:sz w:val="32"/>
          <w:szCs w:val="32"/>
        </w:rPr>
        <w:t>Місткість барабанів до 400…500 м гнучкого трубопроводу діаметром 0,35…0,42 м. Витрата до 25 л/с, напір 7,5…5,2 м.</w:t>
      </w:r>
    </w:p>
    <w:p w:rsidR="007325F9" w:rsidRDefault="007325F9" w:rsidP="007325F9">
      <w:pPr>
        <w:autoSpaceDE w:val="0"/>
        <w:autoSpaceDN w:val="0"/>
        <w:adjustRightInd w:val="0"/>
        <w:spacing w:line="276" w:lineRule="auto"/>
        <w:ind w:firstLine="709"/>
        <w:jc w:val="both"/>
        <w:rPr>
          <w:sz w:val="32"/>
          <w:szCs w:val="32"/>
        </w:rPr>
      </w:pPr>
      <w:r>
        <w:rPr>
          <w:sz w:val="32"/>
          <w:szCs w:val="32"/>
        </w:rPr>
        <w:lastRenderedPageBreak/>
        <w:t xml:space="preserve">У машинах із </w:t>
      </w:r>
      <w:r>
        <w:rPr>
          <w:b/>
          <w:i/>
          <w:sz w:val="32"/>
          <w:szCs w:val="32"/>
        </w:rPr>
        <w:t>пошаровим укладанням</w:t>
      </w:r>
      <w:r>
        <w:rPr>
          <w:sz w:val="32"/>
          <w:szCs w:val="32"/>
        </w:rPr>
        <w:t xml:space="preserve"> трубопровід укладають у контейнер 6 (рис. 115, б) пошарово, пропускаючи його між приймальними валиками 4 й валиками каретки 5. Каретка здійснює зворотно-поступальний рух.</w:t>
      </w:r>
    </w:p>
    <w:p w:rsidR="007325F9" w:rsidRDefault="007325F9" w:rsidP="007325F9">
      <w:pPr>
        <w:spacing w:line="276" w:lineRule="auto"/>
        <w:ind w:firstLine="709"/>
        <w:jc w:val="both"/>
        <w:rPr>
          <w:sz w:val="32"/>
          <w:szCs w:val="32"/>
        </w:rPr>
      </w:pPr>
      <w:r>
        <w:rPr>
          <w:sz w:val="32"/>
          <w:szCs w:val="32"/>
        </w:rPr>
        <w:t>Ємкість контейнера до 600…800 м трубопроводу діаметром до 350 мм. Робоча швидкість машин при розкладці й укладанні трубопроводу 3,5…4 км/год.</w:t>
      </w:r>
    </w:p>
    <w:p w:rsidR="007325F9" w:rsidRDefault="007325F9" w:rsidP="007325F9">
      <w:pPr>
        <w:autoSpaceDE w:val="0"/>
        <w:autoSpaceDN w:val="0"/>
        <w:adjustRightInd w:val="0"/>
        <w:spacing w:line="276" w:lineRule="auto"/>
        <w:ind w:firstLine="709"/>
        <w:jc w:val="both"/>
        <w:rPr>
          <w:sz w:val="32"/>
          <w:szCs w:val="32"/>
        </w:rPr>
      </w:pPr>
      <w:r>
        <w:rPr>
          <w:sz w:val="32"/>
          <w:szCs w:val="32"/>
        </w:rPr>
        <w:t xml:space="preserve">У машинах із </w:t>
      </w:r>
      <w:r>
        <w:rPr>
          <w:b/>
          <w:i/>
          <w:sz w:val="32"/>
          <w:szCs w:val="32"/>
        </w:rPr>
        <w:t>підвісним трубопроводом</w:t>
      </w:r>
      <w:r>
        <w:rPr>
          <w:sz w:val="32"/>
          <w:szCs w:val="32"/>
        </w:rPr>
        <w:t xml:space="preserve"> на трактор 1 (рис. 115, в) встановлюється стійка 7. На пластмасових кронштейнах 13 підвішують гнучкий трубопровід, зібраний «гармошкою». Трактор має на причепі візок 12 із телескопічною колонкою 9, до вершини якої кріплять канати. Для розкладки трубопроводу візок від’єднують і закріплюють вантами 11 до анкерів. Трактор відходить від візка, рухаючись впоперек </w:t>
      </w:r>
      <w:proofErr w:type="spellStart"/>
      <w:r>
        <w:rPr>
          <w:sz w:val="32"/>
          <w:szCs w:val="32"/>
        </w:rPr>
        <w:t>борозен</w:t>
      </w:r>
      <w:proofErr w:type="spellEnd"/>
      <w:r>
        <w:rPr>
          <w:sz w:val="32"/>
          <w:szCs w:val="32"/>
        </w:rPr>
        <w:t xml:space="preserve">, відпускаючи підтримуючий 8 та </w:t>
      </w:r>
      <w:proofErr w:type="spellStart"/>
      <w:r>
        <w:rPr>
          <w:sz w:val="32"/>
          <w:szCs w:val="32"/>
        </w:rPr>
        <w:t>збираючий</w:t>
      </w:r>
      <w:proofErr w:type="spellEnd"/>
      <w:r>
        <w:rPr>
          <w:sz w:val="32"/>
          <w:szCs w:val="32"/>
        </w:rPr>
        <w:t xml:space="preserve"> 14 канати. Коли трубопровід розтягнутий, трактор зупиняється біля зрошувача, і підтримуючий канат разом з трубопроводом лягає на поверхню ґрунту. Після поливу трактор підтягує до себе візок, намотуючи на лебідку канат, що несе, а </w:t>
      </w:r>
      <w:proofErr w:type="spellStart"/>
      <w:r>
        <w:rPr>
          <w:sz w:val="32"/>
          <w:szCs w:val="32"/>
        </w:rPr>
        <w:t>збираючий</w:t>
      </w:r>
      <w:proofErr w:type="spellEnd"/>
      <w:r>
        <w:rPr>
          <w:sz w:val="32"/>
          <w:szCs w:val="32"/>
        </w:rPr>
        <w:t xml:space="preserve"> канат стягує гнучкий трубопровід до </w:t>
      </w:r>
      <w:proofErr w:type="spellStart"/>
      <w:r>
        <w:rPr>
          <w:sz w:val="32"/>
          <w:szCs w:val="32"/>
        </w:rPr>
        <w:t>стійки</w:t>
      </w:r>
      <w:proofErr w:type="spellEnd"/>
      <w:r>
        <w:rPr>
          <w:sz w:val="32"/>
          <w:szCs w:val="32"/>
        </w:rPr>
        <w:t xml:space="preserve"> трактора. Ширина захвату гнучким трубопроводом до </w:t>
      </w:r>
      <w:smartTag w:uri="urn:schemas-microsoft-com:office:smarttags" w:element="metricconverter">
        <w:smartTagPr>
          <w:attr w:name="ProductID" w:val="400 м"/>
        </w:smartTagPr>
        <w:r>
          <w:rPr>
            <w:sz w:val="32"/>
            <w:szCs w:val="32"/>
          </w:rPr>
          <w:t>400 м</w:t>
        </w:r>
      </w:smartTag>
      <w:r>
        <w:rPr>
          <w:sz w:val="32"/>
          <w:szCs w:val="32"/>
        </w:rPr>
        <w:t>.</w:t>
      </w:r>
    </w:p>
    <w:p w:rsidR="007325F9" w:rsidRDefault="007325F9" w:rsidP="007325F9">
      <w:pPr>
        <w:autoSpaceDE w:val="0"/>
        <w:autoSpaceDN w:val="0"/>
        <w:adjustRightInd w:val="0"/>
        <w:spacing w:line="276" w:lineRule="auto"/>
        <w:ind w:firstLine="709"/>
        <w:jc w:val="both"/>
        <w:rPr>
          <w:sz w:val="32"/>
          <w:szCs w:val="32"/>
        </w:rPr>
      </w:pPr>
      <w:r>
        <w:rPr>
          <w:b/>
          <w:i/>
          <w:sz w:val="32"/>
          <w:szCs w:val="32"/>
        </w:rPr>
        <w:t>Причіпні поливні машини</w:t>
      </w:r>
      <w:r>
        <w:rPr>
          <w:sz w:val="32"/>
          <w:szCs w:val="32"/>
        </w:rPr>
        <w:t xml:space="preserve"> з намотуваним трубопроводом мають причіпний шланговий візок (рис. 116), на який установлено барабан із гнучким трубопроводом.</w:t>
      </w:r>
    </w:p>
    <w:p w:rsidR="007325F9" w:rsidRDefault="007325F9" w:rsidP="007325F9">
      <w:pPr>
        <w:spacing w:line="276" w:lineRule="auto"/>
        <w:ind w:firstLine="709"/>
        <w:jc w:val="both"/>
        <w:rPr>
          <w:sz w:val="32"/>
          <w:szCs w:val="32"/>
        </w:rPr>
      </w:pPr>
      <w:r>
        <w:rPr>
          <w:sz w:val="32"/>
          <w:szCs w:val="32"/>
        </w:rPr>
        <w:t xml:space="preserve">Барабан має примусове обертання, що працює від гідросистеми. У навісних машинах барабан встановлюють на тракторі. Поливні машини обладнують насосом, що працює від автономного двигуна або валу відбору потужності трактора через пасову передачу або карданний вал, і </w:t>
      </w:r>
      <w:proofErr w:type="spellStart"/>
      <w:r>
        <w:rPr>
          <w:sz w:val="32"/>
          <w:szCs w:val="32"/>
        </w:rPr>
        <w:t>всмоктуючою</w:t>
      </w:r>
      <w:proofErr w:type="spellEnd"/>
      <w:r>
        <w:rPr>
          <w:sz w:val="32"/>
          <w:szCs w:val="32"/>
        </w:rPr>
        <w:t xml:space="preserve"> лінією із приймальним клапаном.</w:t>
      </w:r>
    </w:p>
    <w:p w:rsidR="007325F9" w:rsidRDefault="007325F9" w:rsidP="007325F9">
      <w:pPr>
        <w:spacing w:line="276" w:lineRule="auto"/>
        <w:ind w:firstLine="709"/>
        <w:jc w:val="both"/>
        <w:rPr>
          <w:sz w:val="32"/>
          <w:szCs w:val="32"/>
        </w:rPr>
      </w:pPr>
      <w:r>
        <w:rPr>
          <w:sz w:val="32"/>
          <w:szCs w:val="32"/>
        </w:rPr>
        <w:t xml:space="preserve">Машину встановлюють біля магістральних каналів, річок, ставків та ін. та приєднують гнучкий трубопровід, заздалегідь укладений змотуванням з барабана впоперек поливних </w:t>
      </w:r>
      <w:proofErr w:type="spellStart"/>
      <w:r>
        <w:rPr>
          <w:sz w:val="32"/>
          <w:szCs w:val="32"/>
        </w:rPr>
        <w:t>борозен</w:t>
      </w:r>
      <w:proofErr w:type="spellEnd"/>
      <w:r>
        <w:rPr>
          <w:sz w:val="32"/>
          <w:szCs w:val="32"/>
        </w:rPr>
        <w:t>.</w:t>
      </w:r>
    </w:p>
    <w:p w:rsidR="007325F9" w:rsidRDefault="007325F9" w:rsidP="007325F9">
      <w:pPr>
        <w:spacing w:line="276" w:lineRule="auto"/>
        <w:ind w:firstLine="709"/>
        <w:jc w:val="both"/>
        <w:rPr>
          <w:sz w:val="32"/>
          <w:szCs w:val="32"/>
        </w:rPr>
      </w:pPr>
      <w:r>
        <w:rPr>
          <w:sz w:val="32"/>
          <w:szCs w:val="32"/>
        </w:rPr>
        <w:t xml:space="preserve">Після закінчення поливу збирають трубопровід, намотуючи на барабан, і </w:t>
      </w:r>
      <w:proofErr w:type="spellStart"/>
      <w:r>
        <w:rPr>
          <w:sz w:val="32"/>
          <w:szCs w:val="32"/>
        </w:rPr>
        <w:t>переїздять</w:t>
      </w:r>
      <w:proofErr w:type="spellEnd"/>
      <w:r>
        <w:rPr>
          <w:sz w:val="32"/>
          <w:szCs w:val="32"/>
        </w:rPr>
        <w:t xml:space="preserve"> на наступну позицію.</w:t>
      </w:r>
    </w:p>
    <w:p w:rsidR="007325F9" w:rsidRDefault="007325F9" w:rsidP="007325F9">
      <w:pPr>
        <w:autoSpaceDE w:val="0"/>
        <w:autoSpaceDN w:val="0"/>
        <w:adjustRightInd w:val="0"/>
        <w:spacing w:line="276" w:lineRule="auto"/>
        <w:ind w:firstLine="709"/>
        <w:jc w:val="both"/>
        <w:rPr>
          <w:sz w:val="16"/>
          <w:szCs w:val="16"/>
        </w:rPr>
      </w:pPr>
    </w:p>
    <w:p w:rsidR="007325F9" w:rsidRDefault="007325F9" w:rsidP="007325F9">
      <w:pPr>
        <w:spacing w:line="276" w:lineRule="auto"/>
        <w:jc w:val="center"/>
        <w:rPr>
          <w:sz w:val="32"/>
          <w:szCs w:val="32"/>
        </w:rPr>
      </w:pPr>
      <w:r>
        <w:rPr>
          <w:noProof/>
          <w:sz w:val="32"/>
          <w:szCs w:val="32"/>
          <w:lang w:val="ru-RU" w:eastAsia="ru-RU"/>
        </w:rPr>
        <w:drawing>
          <wp:inline distT="0" distB="0" distL="0" distR="0">
            <wp:extent cx="5407025" cy="4070985"/>
            <wp:effectExtent l="133350" t="114300" r="155575" b="100965"/>
            <wp:docPr id="226" name="Рисунок 226" descr="VIRM"/>
            <wp:cNvGraphicFramePr/>
            <a:graphic xmlns:a="http://schemas.openxmlformats.org/drawingml/2006/main">
              <a:graphicData uri="http://schemas.openxmlformats.org/drawingml/2006/picture">
                <pic:pic xmlns:pic="http://schemas.openxmlformats.org/drawingml/2006/picture">
                  <pic:nvPicPr>
                    <pic:cNvPr id="226" name="Рисунок 205" descr="VIRM"/>
                    <pic:cNvPicPr/>
                  </pic:nvPicPr>
                  <pic:blipFill>
                    <a:blip r:embed="rId8" cstate="print"/>
                    <a:srcRect/>
                    <a:stretch>
                      <a:fillRect/>
                    </a:stretch>
                  </pic:blipFill>
                  <pic:spPr bwMode="auto">
                    <a:xfrm>
                      <a:off x="0" y="0"/>
                      <a:ext cx="5214620" cy="3869690"/>
                    </a:xfrm>
                    <a:prstGeom prst="rect">
                      <a:avLst/>
                    </a:prstGeom>
                    <a:solidFill>
                      <a:srgbClr val="FFFFFF">
                        <a:shade val="85000"/>
                      </a:srgbClr>
                    </a:solidFill>
                    <a:ln w="88900" cap="sq">
                      <a:solidFill>
                        <a:schemeClr val="tx2">
                          <a:lumMod val="20000"/>
                          <a:lumOff val="8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325F9" w:rsidRDefault="007325F9" w:rsidP="007325F9">
      <w:pPr>
        <w:spacing w:before="240" w:line="276" w:lineRule="auto"/>
        <w:ind w:left="1701" w:hanging="1276"/>
        <w:rPr>
          <w:sz w:val="32"/>
          <w:szCs w:val="32"/>
        </w:rPr>
      </w:pPr>
      <w:r>
        <w:rPr>
          <w:sz w:val="32"/>
          <w:szCs w:val="32"/>
        </w:rPr>
        <w:t>Рис. 116. Причіпна автономна поливна машина з далекоструминною дощувальною насадкою</w:t>
      </w:r>
    </w:p>
    <w:p w:rsidR="007325F9" w:rsidRDefault="007325F9" w:rsidP="007325F9">
      <w:pPr>
        <w:spacing w:line="276" w:lineRule="auto"/>
        <w:ind w:firstLine="709"/>
        <w:jc w:val="both"/>
        <w:rPr>
          <w:sz w:val="16"/>
          <w:szCs w:val="16"/>
        </w:rPr>
      </w:pPr>
    </w:p>
    <w:p w:rsidR="007325F9" w:rsidRDefault="007325F9" w:rsidP="007325F9">
      <w:pPr>
        <w:spacing w:line="276" w:lineRule="auto"/>
        <w:ind w:firstLine="709"/>
        <w:jc w:val="both"/>
        <w:rPr>
          <w:sz w:val="32"/>
          <w:szCs w:val="32"/>
        </w:rPr>
      </w:pPr>
      <w:r>
        <w:rPr>
          <w:sz w:val="32"/>
          <w:szCs w:val="32"/>
        </w:rPr>
        <w:t xml:space="preserve">Витрата поливних машин 150…185 л/с при напорі 4…5,5 м. Продуктивність — 0,5 га/год. Маса 3…4 т. Діаметри гнучких трубопроводів 0,2…0,4 м. Ширина захвату до </w:t>
      </w:r>
      <w:smartTag w:uri="urn:schemas-microsoft-com:office:smarttags" w:element="metricconverter">
        <w:smartTagPr>
          <w:attr w:name="ProductID" w:val="400 м"/>
        </w:smartTagPr>
        <w:r>
          <w:rPr>
            <w:sz w:val="32"/>
            <w:szCs w:val="32"/>
          </w:rPr>
          <w:t>400 м</w:t>
        </w:r>
      </w:smartTag>
      <w:r>
        <w:rPr>
          <w:sz w:val="32"/>
          <w:szCs w:val="32"/>
        </w:rPr>
        <w:t>. Агрегатується із тракторами потужністю 21…36 кВт.</w:t>
      </w:r>
    </w:p>
    <w:p w:rsidR="007325F9" w:rsidRDefault="007325F9" w:rsidP="007325F9">
      <w:pPr>
        <w:widowControl w:val="0"/>
        <w:autoSpaceDE w:val="0"/>
        <w:autoSpaceDN w:val="0"/>
        <w:adjustRightInd w:val="0"/>
        <w:spacing w:line="276" w:lineRule="auto"/>
        <w:rPr>
          <w:b/>
          <w:sz w:val="32"/>
          <w:szCs w:val="32"/>
        </w:rPr>
      </w:pPr>
    </w:p>
    <w:p w:rsidR="007325F9" w:rsidRDefault="007325F9" w:rsidP="007325F9">
      <w:pPr>
        <w:widowControl w:val="0"/>
        <w:autoSpaceDE w:val="0"/>
        <w:autoSpaceDN w:val="0"/>
        <w:adjustRightInd w:val="0"/>
        <w:spacing w:line="276" w:lineRule="auto"/>
        <w:rPr>
          <w:b/>
          <w:sz w:val="32"/>
          <w:szCs w:val="32"/>
        </w:rPr>
      </w:pPr>
    </w:p>
    <w:p w:rsidR="007325F9" w:rsidRDefault="007325F9" w:rsidP="007325F9">
      <w:pPr>
        <w:widowControl w:val="0"/>
        <w:autoSpaceDE w:val="0"/>
        <w:autoSpaceDN w:val="0"/>
        <w:adjustRightInd w:val="0"/>
        <w:spacing w:line="276" w:lineRule="auto"/>
        <w:rPr>
          <w:b/>
          <w:sz w:val="32"/>
          <w:szCs w:val="32"/>
        </w:rPr>
      </w:pPr>
      <w:r>
        <w:rPr>
          <w:b/>
          <w:sz w:val="32"/>
          <w:szCs w:val="32"/>
        </w:rPr>
        <w:t>§7.5. Імпульсне дощування</w:t>
      </w:r>
    </w:p>
    <w:p w:rsidR="007325F9" w:rsidRDefault="007325F9" w:rsidP="007325F9">
      <w:pPr>
        <w:spacing w:line="276" w:lineRule="auto"/>
        <w:ind w:firstLine="709"/>
        <w:jc w:val="both"/>
        <w:rPr>
          <w:sz w:val="32"/>
          <w:szCs w:val="32"/>
        </w:rPr>
      </w:pPr>
      <w:r>
        <w:rPr>
          <w:sz w:val="32"/>
          <w:szCs w:val="32"/>
        </w:rPr>
        <w:t xml:space="preserve">У практиці зрошення сільськогосподарських культур імпульсне дощування — один із нових, прогресивних напрямів (рис. 117). Зазначений спосіб поливу дає змогу здійснювати постачання сільськогосподарських рослин водою протягом усього вегетаційного періоду відповідно до їхнього водоспоживання. Головна особливість імпульсного дощування полягає у </w:t>
      </w:r>
      <w:r>
        <w:rPr>
          <w:sz w:val="32"/>
          <w:szCs w:val="32"/>
        </w:rPr>
        <w:lastRenderedPageBreak/>
        <w:t>забезпеченні частих поливів за дуже малих поливних норм, що дає змогу регулювати мікроклімат.</w:t>
      </w:r>
    </w:p>
    <w:p w:rsidR="007325F9" w:rsidRDefault="007325F9" w:rsidP="007325F9">
      <w:pPr>
        <w:spacing w:line="276" w:lineRule="auto"/>
        <w:ind w:firstLine="709"/>
        <w:jc w:val="both"/>
        <w:rPr>
          <w:sz w:val="32"/>
          <w:szCs w:val="32"/>
        </w:rPr>
      </w:pPr>
      <w:r>
        <w:rPr>
          <w:sz w:val="32"/>
          <w:szCs w:val="32"/>
        </w:rPr>
        <w:t>Синхронне імпульсне дощування дозволяє більш ніж у двічі зменшити витрати зрошувальної води в порівнянні зі звичайним дощуванням. При цьому, науковцями встановлений позитивний вплив цього меліоративного прийому на розвиток сільськогосподарських культур — підвищення урожайності на 15…40%.</w:t>
      </w:r>
    </w:p>
    <w:p w:rsidR="007325F9" w:rsidRDefault="007325F9" w:rsidP="007325F9">
      <w:pPr>
        <w:spacing w:line="276" w:lineRule="auto"/>
        <w:ind w:firstLine="709"/>
        <w:jc w:val="both"/>
        <w:rPr>
          <w:sz w:val="16"/>
          <w:szCs w:val="16"/>
        </w:rPr>
      </w:pPr>
    </w:p>
    <w:p w:rsidR="007325F9" w:rsidRDefault="007325F9" w:rsidP="007325F9">
      <w:pPr>
        <w:spacing w:line="276" w:lineRule="auto"/>
        <w:jc w:val="center"/>
        <w:rPr>
          <w:sz w:val="32"/>
          <w:szCs w:val="32"/>
        </w:rPr>
      </w:pPr>
      <w:r>
        <w:rPr>
          <w:noProof/>
          <w:sz w:val="32"/>
          <w:szCs w:val="32"/>
          <w:lang w:val="ru-RU" w:eastAsia="ru-RU"/>
        </w:rPr>
        <w:drawing>
          <wp:inline distT="0" distB="0" distL="0" distR="0">
            <wp:extent cx="5391150" cy="4086860"/>
            <wp:effectExtent l="133350" t="114300" r="152400" b="123190"/>
            <wp:docPr id="164" name="Рисунок 164" descr="7"/>
            <wp:cNvGraphicFramePr/>
            <a:graphic xmlns:a="http://schemas.openxmlformats.org/drawingml/2006/main">
              <a:graphicData uri="http://schemas.openxmlformats.org/drawingml/2006/picture">
                <pic:pic xmlns:pic="http://schemas.openxmlformats.org/drawingml/2006/picture">
                  <pic:nvPicPr>
                    <pic:cNvPr id="164" name="Рисунок 78" descr="7"/>
                    <pic:cNvPicPr/>
                  </pic:nvPicPr>
                  <pic:blipFill>
                    <a:blip r:embed="rId9" cstate="print"/>
                    <a:stretch>
                      <a:fillRect/>
                    </a:stretch>
                  </pic:blipFill>
                  <pic:spPr bwMode="auto">
                    <a:xfrm>
                      <a:off x="0" y="0"/>
                      <a:ext cx="5200650" cy="3899535"/>
                    </a:xfrm>
                    <a:prstGeom prst="rect">
                      <a:avLst/>
                    </a:prstGeom>
                    <a:solidFill>
                      <a:srgbClr val="FFFFFF">
                        <a:shade val="85000"/>
                      </a:srgbClr>
                    </a:solidFill>
                    <a:ln w="88900" cap="sq">
                      <a:solidFill>
                        <a:schemeClr val="tx2">
                          <a:lumMod val="20000"/>
                          <a:lumOff val="8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325F9" w:rsidRDefault="007325F9" w:rsidP="007325F9">
      <w:pPr>
        <w:spacing w:line="276" w:lineRule="auto"/>
        <w:jc w:val="center"/>
        <w:rPr>
          <w:sz w:val="32"/>
          <w:szCs w:val="32"/>
        </w:rPr>
      </w:pPr>
    </w:p>
    <w:p w:rsidR="007325F9" w:rsidRDefault="007325F9" w:rsidP="007325F9">
      <w:pPr>
        <w:widowControl w:val="0"/>
        <w:autoSpaceDE w:val="0"/>
        <w:autoSpaceDN w:val="0"/>
        <w:adjustRightInd w:val="0"/>
        <w:spacing w:line="276" w:lineRule="auto"/>
        <w:ind w:left="1843" w:hanging="1135"/>
        <w:rPr>
          <w:sz w:val="32"/>
          <w:szCs w:val="32"/>
        </w:rPr>
      </w:pPr>
      <w:r>
        <w:rPr>
          <w:sz w:val="32"/>
          <w:szCs w:val="32"/>
        </w:rPr>
        <w:t>Рис. 117. Стаціонарна система синхронного імпульсного дощування</w:t>
      </w:r>
    </w:p>
    <w:p w:rsidR="007325F9" w:rsidRDefault="007325F9" w:rsidP="007325F9">
      <w:pPr>
        <w:spacing w:line="276" w:lineRule="auto"/>
        <w:jc w:val="center"/>
        <w:rPr>
          <w:sz w:val="32"/>
          <w:szCs w:val="32"/>
        </w:rPr>
      </w:pPr>
    </w:p>
    <w:p w:rsidR="007325F9" w:rsidRDefault="007325F9" w:rsidP="007325F9">
      <w:pPr>
        <w:spacing w:line="276" w:lineRule="auto"/>
        <w:ind w:firstLine="709"/>
        <w:jc w:val="both"/>
        <w:rPr>
          <w:sz w:val="32"/>
          <w:szCs w:val="32"/>
        </w:rPr>
      </w:pPr>
      <w:r>
        <w:rPr>
          <w:sz w:val="32"/>
          <w:szCs w:val="32"/>
        </w:rPr>
        <w:t>Вітчизняний комплект стаціонарної системи синхронного імпульсного дощування (рис. 118) включає розподільний і поливний трубопроводи, що призначені для розосередження поливної води по всій зрошуваній території.</w:t>
      </w:r>
    </w:p>
    <w:p w:rsidR="007325F9" w:rsidRDefault="007325F9" w:rsidP="007325F9">
      <w:pPr>
        <w:spacing w:line="276" w:lineRule="auto"/>
        <w:ind w:firstLine="709"/>
        <w:jc w:val="both"/>
        <w:rPr>
          <w:sz w:val="32"/>
          <w:szCs w:val="32"/>
        </w:rPr>
      </w:pPr>
      <w:r>
        <w:rPr>
          <w:sz w:val="32"/>
          <w:szCs w:val="32"/>
        </w:rPr>
        <w:lastRenderedPageBreak/>
        <w:t>Усі трубопроводи працюють одночасно, режим їхньої роботи циклічний. Розподільний трубопровід діаметром 50…80 мм і поливний трубопровід діаметром 20…30 мм виготовляють із сталевих і поліетиленових труб.</w:t>
      </w:r>
    </w:p>
    <w:p w:rsidR="007325F9" w:rsidRDefault="007325F9" w:rsidP="007325F9">
      <w:pPr>
        <w:spacing w:line="276" w:lineRule="auto"/>
        <w:rPr>
          <w:sz w:val="16"/>
          <w:szCs w:val="16"/>
        </w:rPr>
      </w:pPr>
    </w:p>
    <w:p w:rsidR="007325F9" w:rsidRDefault="007325F9" w:rsidP="007325F9">
      <w:pPr>
        <w:spacing w:line="276" w:lineRule="auto"/>
        <w:jc w:val="center"/>
        <w:rPr>
          <w:sz w:val="32"/>
          <w:szCs w:val="32"/>
        </w:rPr>
      </w:pPr>
      <w:r>
        <w:rPr>
          <w:noProof/>
          <w:sz w:val="32"/>
          <w:szCs w:val="32"/>
          <w:lang w:val="ru-RU" w:eastAsia="ru-RU"/>
        </w:rPr>
        <w:drawing>
          <wp:inline distT="0" distB="0" distL="0" distR="0">
            <wp:extent cx="3768725" cy="4913630"/>
            <wp:effectExtent l="0" t="0" r="3175" b="1270"/>
            <wp:docPr id="4" name="Рисунок 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6" descr="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8725" cy="4913630"/>
                    </a:xfrm>
                    <a:prstGeom prst="rect">
                      <a:avLst/>
                    </a:prstGeom>
                    <a:noFill/>
                    <a:ln>
                      <a:noFill/>
                    </a:ln>
                  </pic:spPr>
                </pic:pic>
              </a:graphicData>
            </a:graphic>
          </wp:inline>
        </w:drawing>
      </w:r>
    </w:p>
    <w:p w:rsidR="007325F9" w:rsidRDefault="007325F9" w:rsidP="007325F9">
      <w:pPr>
        <w:tabs>
          <w:tab w:val="left" w:pos="8647"/>
        </w:tabs>
        <w:autoSpaceDE w:val="0"/>
        <w:autoSpaceDN w:val="0"/>
        <w:adjustRightInd w:val="0"/>
        <w:spacing w:line="276" w:lineRule="auto"/>
        <w:ind w:left="3969"/>
        <w:jc w:val="both"/>
        <w:rPr>
          <w:rFonts w:asciiTheme="minorHAnsi" w:hAnsiTheme="minorHAnsi"/>
          <w:sz w:val="28"/>
          <w:szCs w:val="28"/>
        </w:rPr>
      </w:pPr>
      <w:r>
        <w:rPr>
          <w:rFonts w:asciiTheme="minorHAnsi" w:hAnsiTheme="minorHAnsi"/>
          <w:sz w:val="28"/>
          <w:szCs w:val="28"/>
        </w:rPr>
        <w:t>1 – розподільний трубопровід;</w:t>
      </w:r>
    </w:p>
    <w:p w:rsidR="007325F9" w:rsidRDefault="007325F9" w:rsidP="007325F9">
      <w:pPr>
        <w:tabs>
          <w:tab w:val="left" w:pos="8647"/>
        </w:tabs>
        <w:autoSpaceDE w:val="0"/>
        <w:autoSpaceDN w:val="0"/>
        <w:adjustRightInd w:val="0"/>
        <w:spacing w:line="276" w:lineRule="auto"/>
        <w:ind w:left="3969"/>
        <w:jc w:val="both"/>
        <w:rPr>
          <w:rFonts w:asciiTheme="minorHAnsi" w:hAnsiTheme="minorHAnsi"/>
          <w:sz w:val="28"/>
          <w:szCs w:val="28"/>
        </w:rPr>
      </w:pPr>
      <w:r>
        <w:rPr>
          <w:rFonts w:asciiTheme="minorHAnsi" w:hAnsiTheme="minorHAnsi"/>
          <w:sz w:val="28"/>
          <w:szCs w:val="28"/>
        </w:rPr>
        <w:t>2 – поливний трубопровід;</w:t>
      </w:r>
    </w:p>
    <w:p w:rsidR="007325F9" w:rsidRDefault="007325F9" w:rsidP="007325F9">
      <w:pPr>
        <w:tabs>
          <w:tab w:val="left" w:pos="8647"/>
        </w:tabs>
        <w:autoSpaceDE w:val="0"/>
        <w:autoSpaceDN w:val="0"/>
        <w:adjustRightInd w:val="0"/>
        <w:spacing w:line="276" w:lineRule="auto"/>
        <w:ind w:left="3969"/>
        <w:jc w:val="both"/>
        <w:rPr>
          <w:rFonts w:asciiTheme="minorHAnsi" w:hAnsiTheme="minorHAnsi"/>
          <w:sz w:val="28"/>
          <w:szCs w:val="28"/>
        </w:rPr>
      </w:pPr>
      <w:r>
        <w:rPr>
          <w:rFonts w:asciiTheme="minorHAnsi" w:hAnsiTheme="minorHAnsi"/>
          <w:sz w:val="28"/>
          <w:szCs w:val="28"/>
        </w:rPr>
        <w:t>3 – імпульсний дощувальний апарат.</w:t>
      </w:r>
    </w:p>
    <w:p w:rsidR="007325F9" w:rsidRDefault="007325F9" w:rsidP="007325F9">
      <w:pPr>
        <w:spacing w:before="240" w:line="276" w:lineRule="auto"/>
        <w:ind w:left="1701" w:hanging="1276"/>
        <w:rPr>
          <w:sz w:val="32"/>
          <w:szCs w:val="32"/>
        </w:rPr>
      </w:pPr>
      <w:r>
        <w:rPr>
          <w:sz w:val="32"/>
          <w:szCs w:val="32"/>
        </w:rPr>
        <w:t>Рис. 118. Система з імпульсними дощувальними</w:t>
      </w:r>
      <w:r>
        <w:rPr>
          <w:sz w:val="32"/>
          <w:szCs w:val="32"/>
        </w:rPr>
        <w:br/>
        <w:t>апаратами:</w:t>
      </w:r>
    </w:p>
    <w:p w:rsidR="007325F9" w:rsidRDefault="007325F9" w:rsidP="007325F9">
      <w:pPr>
        <w:spacing w:line="276" w:lineRule="auto"/>
        <w:ind w:firstLine="709"/>
        <w:jc w:val="both"/>
        <w:rPr>
          <w:sz w:val="16"/>
          <w:szCs w:val="16"/>
        </w:rPr>
      </w:pPr>
    </w:p>
    <w:p w:rsidR="007325F9" w:rsidRDefault="007325F9" w:rsidP="007325F9">
      <w:pPr>
        <w:spacing w:line="276" w:lineRule="auto"/>
        <w:ind w:firstLine="709"/>
        <w:jc w:val="both"/>
        <w:rPr>
          <w:sz w:val="32"/>
          <w:szCs w:val="32"/>
        </w:rPr>
      </w:pPr>
      <w:r>
        <w:rPr>
          <w:sz w:val="32"/>
          <w:szCs w:val="32"/>
        </w:rPr>
        <w:t xml:space="preserve">Синхронне імпульсне дощування здійснюється імпульсними апаратами, що працюють за сигналами зниження тиску в трубопровідній мережі. Імпульсні дощувальні установки у цьому разі працюють одночасно на всій площі в режимі пауз, що </w:t>
      </w:r>
      <w:r>
        <w:rPr>
          <w:sz w:val="32"/>
          <w:szCs w:val="32"/>
        </w:rPr>
        <w:lastRenderedPageBreak/>
        <w:t>безперервно чергуються, нагромадження води в гідроакумуляторах і періодів виплеску її під дією стиснутого повітря.</w:t>
      </w:r>
    </w:p>
    <w:p w:rsidR="007325F9" w:rsidRDefault="007325F9" w:rsidP="007325F9">
      <w:pPr>
        <w:spacing w:line="276" w:lineRule="auto"/>
        <w:ind w:firstLine="709"/>
        <w:jc w:val="both"/>
        <w:rPr>
          <w:sz w:val="32"/>
          <w:szCs w:val="32"/>
        </w:rPr>
      </w:pPr>
      <w:r>
        <w:rPr>
          <w:sz w:val="32"/>
          <w:szCs w:val="32"/>
        </w:rPr>
        <w:t>Водопостачання в режимі водоспоживання сільськогосподарських рослин забезпечується завдяки тому, що тривалість пауз нагромадження в 50…200 разів більша, ніж час виплеску води. Середня інтенсивність дощу при цьому становить 0,01…0,002 мм/хв.</w:t>
      </w:r>
    </w:p>
    <w:p w:rsidR="007325F9" w:rsidRDefault="007325F9" w:rsidP="007325F9">
      <w:pPr>
        <w:spacing w:line="276" w:lineRule="auto"/>
        <w:rPr>
          <w:sz w:val="32"/>
          <w:szCs w:val="32"/>
        </w:rPr>
      </w:pPr>
    </w:p>
    <w:p w:rsidR="007325F9" w:rsidRDefault="007325F9" w:rsidP="007325F9">
      <w:pPr>
        <w:spacing w:line="276" w:lineRule="auto"/>
        <w:rPr>
          <w:sz w:val="32"/>
          <w:szCs w:val="32"/>
        </w:rPr>
      </w:pPr>
    </w:p>
    <w:p w:rsidR="007325F9" w:rsidRDefault="007325F9" w:rsidP="007325F9">
      <w:pPr>
        <w:widowControl w:val="0"/>
        <w:autoSpaceDE w:val="0"/>
        <w:autoSpaceDN w:val="0"/>
        <w:adjustRightInd w:val="0"/>
        <w:spacing w:line="276" w:lineRule="auto"/>
        <w:rPr>
          <w:b/>
          <w:sz w:val="32"/>
          <w:szCs w:val="32"/>
        </w:rPr>
      </w:pPr>
      <w:r>
        <w:rPr>
          <w:b/>
          <w:sz w:val="32"/>
          <w:szCs w:val="32"/>
        </w:rPr>
        <w:t>§7.6. Краплинне зрошення</w:t>
      </w:r>
    </w:p>
    <w:p w:rsidR="007325F9" w:rsidRDefault="007325F9" w:rsidP="007325F9">
      <w:pPr>
        <w:spacing w:line="276" w:lineRule="auto"/>
        <w:ind w:firstLine="709"/>
        <w:jc w:val="both"/>
        <w:rPr>
          <w:sz w:val="32"/>
          <w:szCs w:val="32"/>
        </w:rPr>
      </w:pPr>
      <w:r>
        <w:rPr>
          <w:sz w:val="32"/>
          <w:szCs w:val="32"/>
        </w:rPr>
        <w:t>Під краплинним зрошенням розуміють повільне й тривале подавання води в зону, в якій розвивається коренева система кожної рослини, у вигляді краплин, що постійно падають (рис. 119; 120).</w:t>
      </w:r>
    </w:p>
    <w:p w:rsidR="007325F9" w:rsidRDefault="007325F9" w:rsidP="007325F9">
      <w:pPr>
        <w:spacing w:line="276" w:lineRule="auto"/>
        <w:ind w:firstLine="709"/>
        <w:jc w:val="both"/>
        <w:rPr>
          <w:sz w:val="16"/>
          <w:szCs w:val="16"/>
        </w:rPr>
      </w:pPr>
    </w:p>
    <w:p w:rsidR="007325F9" w:rsidRDefault="007325F9" w:rsidP="007325F9">
      <w:pPr>
        <w:spacing w:line="276" w:lineRule="auto"/>
        <w:jc w:val="center"/>
        <w:rPr>
          <w:sz w:val="32"/>
          <w:szCs w:val="32"/>
        </w:rPr>
      </w:pPr>
      <w:r>
        <w:rPr>
          <w:noProof/>
          <w:sz w:val="32"/>
          <w:szCs w:val="32"/>
          <w:lang w:val="ru-RU" w:eastAsia="ru-RU"/>
        </w:rPr>
        <w:drawing>
          <wp:inline distT="0" distB="0" distL="0" distR="0">
            <wp:extent cx="5327650" cy="2592070"/>
            <wp:effectExtent l="0" t="0" r="6350" b="0"/>
            <wp:docPr id="3" name="Рисунок 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7" descr="7"/>
                    <pic:cNvPicPr>
                      <a:picLocks noChangeAspect="1" noChangeArrowheads="1"/>
                    </pic:cNvPicPr>
                  </pic:nvPicPr>
                  <pic:blipFill>
                    <a:blip r:embed="rId11">
                      <a:extLst>
                        <a:ext uri="{28A0092B-C50C-407E-A947-70E740481C1C}">
                          <a14:useLocalDpi xmlns:a14="http://schemas.microsoft.com/office/drawing/2010/main" val="0"/>
                        </a:ext>
                      </a:extLst>
                    </a:blip>
                    <a:srcRect t="2365" b="5743"/>
                    <a:stretch>
                      <a:fillRect/>
                    </a:stretch>
                  </pic:blipFill>
                  <pic:spPr bwMode="auto">
                    <a:xfrm>
                      <a:off x="0" y="0"/>
                      <a:ext cx="5327650" cy="2592070"/>
                    </a:xfrm>
                    <a:prstGeom prst="rect">
                      <a:avLst/>
                    </a:prstGeom>
                    <a:noFill/>
                    <a:ln>
                      <a:noFill/>
                    </a:ln>
                  </pic:spPr>
                </pic:pic>
              </a:graphicData>
            </a:graphic>
          </wp:inline>
        </w:drawing>
      </w:r>
    </w:p>
    <w:p w:rsidR="007325F9" w:rsidRDefault="007325F9" w:rsidP="007325F9">
      <w:pPr>
        <w:spacing w:before="240" w:line="276" w:lineRule="auto"/>
        <w:ind w:left="1701" w:hanging="1276"/>
        <w:rPr>
          <w:sz w:val="32"/>
          <w:szCs w:val="32"/>
        </w:rPr>
      </w:pPr>
      <w:r>
        <w:rPr>
          <w:sz w:val="32"/>
          <w:szCs w:val="32"/>
        </w:rPr>
        <w:t xml:space="preserve">Рис. 119. Вигляд </w:t>
      </w:r>
      <w:proofErr w:type="spellStart"/>
      <w:r>
        <w:rPr>
          <w:sz w:val="32"/>
          <w:szCs w:val="32"/>
        </w:rPr>
        <w:t>коренемісткого</w:t>
      </w:r>
      <w:proofErr w:type="spellEnd"/>
      <w:r>
        <w:rPr>
          <w:sz w:val="32"/>
          <w:szCs w:val="32"/>
        </w:rPr>
        <w:t xml:space="preserve"> шару ґрунту при</w:t>
      </w:r>
      <w:r>
        <w:rPr>
          <w:sz w:val="32"/>
          <w:szCs w:val="32"/>
        </w:rPr>
        <w:br/>
        <w:t>краплинному зрошенні</w:t>
      </w:r>
    </w:p>
    <w:p w:rsidR="007325F9" w:rsidRDefault="007325F9" w:rsidP="007325F9">
      <w:pPr>
        <w:spacing w:before="240" w:line="276" w:lineRule="auto"/>
        <w:ind w:left="1701" w:hanging="1276"/>
        <w:rPr>
          <w:sz w:val="16"/>
          <w:szCs w:val="16"/>
        </w:rPr>
      </w:pPr>
    </w:p>
    <w:p w:rsidR="007325F9" w:rsidRDefault="007325F9" w:rsidP="007325F9">
      <w:pPr>
        <w:spacing w:line="276" w:lineRule="auto"/>
        <w:ind w:firstLine="709"/>
        <w:jc w:val="both"/>
        <w:rPr>
          <w:sz w:val="32"/>
          <w:szCs w:val="32"/>
        </w:rPr>
      </w:pPr>
      <w:r>
        <w:rPr>
          <w:sz w:val="32"/>
          <w:szCs w:val="32"/>
        </w:rPr>
        <w:t xml:space="preserve">Найвагоміша перевага крапельного зрошення — значна економія зрошувальної води внаслідок суттєвого зниження втрат води на фільтрацію за межами кореневмісного шару ґрунту, випаровування, поверхневий виток за межі ділянки, а також практично відсутнє явище нерівномірності поливу. Під час зазначеного технологічного процесу, майже вся зрошувальна вода </w:t>
      </w:r>
      <w:r>
        <w:rPr>
          <w:sz w:val="32"/>
          <w:szCs w:val="32"/>
        </w:rPr>
        <w:lastRenderedPageBreak/>
        <w:t>використовується на живлення сільськогосподарських культур (рис. 120).</w:t>
      </w:r>
    </w:p>
    <w:p w:rsidR="007325F9" w:rsidRDefault="007325F9" w:rsidP="007325F9">
      <w:pPr>
        <w:spacing w:line="276" w:lineRule="auto"/>
        <w:ind w:firstLine="709"/>
        <w:jc w:val="both"/>
        <w:rPr>
          <w:sz w:val="16"/>
          <w:szCs w:val="16"/>
        </w:rPr>
      </w:pPr>
    </w:p>
    <w:p w:rsidR="007325F9" w:rsidRDefault="007325F9" w:rsidP="007325F9">
      <w:pPr>
        <w:spacing w:line="276" w:lineRule="auto"/>
        <w:jc w:val="center"/>
        <w:rPr>
          <w:sz w:val="32"/>
          <w:szCs w:val="32"/>
        </w:rPr>
      </w:pPr>
      <w:r>
        <w:rPr>
          <w:noProof/>
          <w:sz w:val="32"/>
          <w:szCs w:val="32"/>
          <w:lang w:val="ru-RU" w:eastAsia="ru-RU"/>
        </w:rPr>
        <w:drawing>
          <wp:inline distT="0" distB="0" distL="0" distR="0">
            <wp:extent cx="4906010" cy="2639695"/>
            <wp:effectExtent l="133350" t="114300" r="142240" b="65405"/>
            <wp:docPr id="167" name="Рисунок 167" descr="7.13.jpg"/>
            <wp:cNvGraphicFramePr/>
            <a:graphic xmlns:a="http://schemas.openxmlformats.org/drawingml/2006/main">
              <a:graphicData uri="http://schemas.openxmlformats.org/drawingml/2006/picture">
                <pic:pic xmlns:pic="http://schemas.openxmlformats.org/drawingml/2006/picture">
                  <pic:nvPicPr>
                    <pic:cNvPr id="167" name="Рисунок 79" descr="7.13.jpg"/>
                    <pic:cNvPicPr/>
                  </pic:nvPicPr>
                  <pic:blipFill>
                    <a:blip r:embed="rId12" cstate="print"/>
                    <a:srcRect t="11322" b="11322"/>
                    <a:stretch>
                      <a:fillRect/>
                    </a:stretch>
                  </pic:blipFill>
                  <pic:spPr>
                    <a:xfrm>
                      <a:off x="0" y="0"/>
                      <a:ext cx="4699635" cy="2439035"/>
                    </a:xfrm>
                    <a:prstGeom prst="rect">
                      <a:avLst/>
                    </a:prstGeom>
                    <a:solidFill>
                      <a:srgbClr val="FFFFFF">
                        <a:shade val="85000"/>
                      </a:srgbClr>
                    </a:solidFill>
                    <a:ln w="88900" cap="sq">
                      <a:solidFill>
                        <a:schemeClr val="tx2">
                          <a:lumMod val="20000"/>
                          <a:lumOff val="8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325F9" w:rsidRDefault="007325F9" w:rsidP="007325F9">
      <w:pPr>
        <w:spacing w:before="240" w:line="276" w:lineRule="auto"/>
        <w:ind w:left="1701" w:hanging="1276"/>
        <w:rPr>
          <w:sz w:val="32"/>
          <w:szCs w:val="32"/>
        </w:rPr>
      </w:pPr>
      <w:r>
        <w:rPr>
          <w:sz w:val="32"/>
          <w:szCs w:val="32"/>
        </w:rPr>
        <w:t>Рис. 120. Краплинне зрошення</w:t>
      </w:r>
    </w:p>
    <w:p w:rsidR="007325F9" w:rsidRDefault="007325F9" w:rsidP="007325F9">
      <w:pPr>
        <w:spacing w:line="276" w:lineRule="auto"/>
        <w:jc w:val="center"/>
        <w:rPr>
          <w:sz w:val="16"/>
          <w:szCs w:val="16"/>
        </w:rPr>
      </w:pPr>
    </w:p>
    <w:p w:rsidR="007325F9" w:rsidRDefault="007325F9" w:rsidP="007325F9">
      <w:pPr>
        <w:spacing w:line="276" w:lineRule="auto"/>
        <w:ind w:firstLine="709"/>
        <w:jc w:val="both"/>
        <w:rPr>
          <w:sz w:val="32"/>
          <w:szCs w:val="32"/>
        </w:rPr>
      </w:pPr>
      <w:r>
        <w:rPr>
          <w:sz w:val="32"/>
          <w:szCs w:val="32"/>
        </w:rPr>
        <w:t>Досвід практичного застосування крапельного зрошення в таких країнах, як США та Ізраїль показали, що при виконанні цього меліоративного прийому на посівах огірків, томатів, картоплі, цибулі, винограду та ін. культур зрошувальна норма зменшується на 41…47% у порівнянні зі звичайним дощуванням і на 52…60% — із поверхневим способом поливу.</w:t>
      </w:r>
    </w:p>
    <w:p w:rsidR="007325F9" w:rsidRDefault="007325F9" w:rsidP="007325F9">
      <w:pPr>
        <w:spacing w:line="276" w:lineRule="auto"/>
        <w:ind w:firstLine="709"/>
        <w:jc w:val="both"/>
        <w:rPr>
          <w:sz w:val="32"/>
          <w:szCs w:val="32"/>
        </w:rPr>
      </w:pPr>
      <w:r>
        <w:rPr>
          <w:sz w:val="32"/>
          <w:szCs w:val="32"/>
        </w:rPr>
        <w:t xml:space="preserve">Краплинне зрошення забезпечує  найвищий  коефіцієнт використання зрошувальної води — 80…95% (під час дощування цей коефіцієнт становить — 70…80%, а під час поверхневого зрошення — 30…60%). Проте крапельне зрошення має й певні недоліки: порівняно висока вартість технічних засобів; труднощі регулювання мікроклімату зрошувальної ділянки; випадки закупорювання трубопроводів і крапельниць; необхідність встановлення спеціальних пристроїв — фільтрів для очищення зрошувальної води; необхідність </w:t>
      </w:r>
      <w:proofErr w:type="spellStart"/>
      <w:r>
        <w:rPr>
          <w:sz w:val="32"/>
          <w:szCs w:val="32"/>
        </w:rPr>
        <w:t>перелаштовування</w:t>
      </w:r>
      <w:proofErr w:type="spellEnd"/>
      <w:r>
        <w:rPr>
          <w:sz w:val="32"/>
          <w:szCs w:val="32"/>
        </w:rPr>
        <w:t xml:space="preserve"> системи при зміні культур.</w:t>
      </w:r>
    </w:p>
    <w:p w:rsidR="007325F9" w:rsidRDefault="007325F9" w:rsidP="007325F9">
      <w:pPr>
        <w:spacing w:line="276" w:lineRule="auto"/>
        <w:ind w:firstLine="709"/>
        <w:jc w:val="both"/>
        <w:rPr>
          <w:sz w:val="32"/>
          <w:szCs w:val="32"/>
        </w:rPr>
      </w:pPr>
      <w:r>
        <w:rPr>
          <w:sz w:val="32"/>
          <w:szCs w:val="32"/>
        </w:rPr>
        <w:t>У технологічних процесах крапельного зрошення вирізняють дві системи подавання води до рослин: безпосередньо в кореневу систему (рис. 121) і з поверхні (рис. 122).</w:t>
      </w:r>
    </w:p>
    <w:p w:rsidR="007325F9" w:rsidRDefault="007325F9" w:rsidP="007325F9">
      <w:pPr>
        <w:spacing w:line="276" w:lineRule="auto"/>
        <w:jc w:val="center"/>
        <w:rPr>
          <w:sz w:val="16"/>
          <w:szCs w:val="16"/>
        </w:rPr>
      </w:pPr>
    </w:p>
    <w:p w:rsidR="007325F9" w:rsidRDefault="007325F9" w:rsidP="007325F9">
      <w:pPr>
        <w:spacing w:line="276" w:lineRule="auto"/>
        <w:jc w:val="center"/>
        <w:rPr>
          <w:sz w:val="32"/>
          <w:szCs w:val="32"/>
        </w:rPr>
      </w:pPr>
      <w:r>
        <w:rPr>
          <w:noProof/>
          <w:sz w:val="32"/>
          <w:szCs w:val="32"/>
          <w:lang w:val="ru-RU" w:eastAsia="ru-RU"/>
        </w:rPr>
        <w:drawing>
          <wp:inline distT="0" distB="0" distL="0" distR="0">
            <wp:extent cx="5343525" cy="2894330"/>
            <wp:effectExtent l="0" t="0" r="9525" b="1270"/>
            <wp:docPr id="2" name="Рисунок 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8" descr="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43525" cy="2894330"/>
                    </a:xfrm>
                    <a:prstGeom prst="rect">
                      <a:avLst/>
                    </a:prstGeom>
                    <a:noFill/>
                    <a:ln>
                      <a:noFill/>
                    </a:ln>
                  </pic:spPr>
                </pic:pic>
              </a:graphicData>
            </a:graphic>
          </wp:inline>
        </w:drawing>
      </w:r>
    </w:p>
    <w:p w:rsidR="007325F9" w:rsidRDefault="007325F9" w:rsidP="007325F9">
      <w:pPr>
        <w:spacing w:before="240" w:line="276" w:lineRule="auto"/>
        <w:ind w:left="1701" w:hanging="1276"/>
        <w:rPr>
          <w:sz w:val="32"/>
          <w:szCs w:val="32"/>
        </w:rPr>
      </w:pPr>
      <w:r>
        <w:rPr>
          <w:sz w:val="32"/>
          <w:szCs w:val="32"/>
        </w:rPr>
        <w:t>Рис. 121. Система краплинного зрошення безпосередньо в кореневу систему</w:t>
      </w:r>
    </w:p>
    <w:p w:rsidR="007325F9" w:rsidRDefault="007325F9" w:rsidP="007325F9">
      <w:pPr>
        <w:spacing w:line="276" w:lineRule="auto"/>
        <w:ind w:firstLine="709"/>
        <w:jc w:val="both"/>
        <w:rPr>
          <w:sz w:val="16"/>
          <w:szCs w:val="16"/>
        </w:rPr>
      </w:pPr>
    </w:p>
    <w:p w:rsidR="007325F9" w:rsidRDefault="007325F9" w:rsidP="007325F9">
      <w:pPr>
        <w:spacing w:line="276" w:lineRule="auto"/>
        <w:ind w:firstLine="709"/>
        <w:jc w:val="both"/>
        <w:rPr>
          <w:sz w:val="32"/>
          <w:szCs w:val="32"/>
        </w:rPr>
      </w:pPr>
      <w:r>
        <w:rPr>
          <w:sz w:val="32"/>
          <w:szCs w:val="32"/>
        </w:rPr>
        <w:t xml:space="preserve">Із трубопроводів вода надходить у ґрунт крізь спеціальні </w:t>
      </w:r>
      <w:proofErr w:type="spellStart"/>
      <w:r>
        <w:rPr>
          <w:sz w:val="32"/>
          <w:szCs w:val="32"/>
        </w:rPr>
        <w:t>водовипуски</w:t>
      </w:r>
      <w:proofErr w:type="spellEnd"/>
      <w:r>
        <w:rPr>
          <w:sz w:val="32"/>
          <w:szCs w:val="32"/>
        </w:rPr>
        <w:t xml:space="preserve"> — крапельниці. Одночасно з водою у ґрунт подається і розчин добрив.</w:t>
      </w:r>
    </w:p>
    <w:p w:rsidR="007325F9" w:rsidRDefault="007325F9" w:rsidP="007325F9">
      <w:pPr>
        <w:spacing w:line="276" w:lineRule="auto"/>
        <w:ind w:firstLine="709"/>
        <w:jc w:val="both"/>
        <w:rPr>
          <w:sz w:val="32"/>
          <w:szCs w:val="32"/>
        </w:rPr>
      </w:pPr>
      <w:r>
        <w:rPr>
          <w:sz w:val="32"/>
          <w:szCs w:val="32"/>
        </w:rPr>
        <w:t>Система краплинного зрошення з поверхні (рис. 122) включає такі елементи: головний водозабір у вигляді насосної станції, що подає воду в контрольно-розподільний блок, який підтримує в мережі трубопроводів сталий напір; магістральний або розподільний трубопровід, який розподіляє воду по всій зрошуваній площі; поливні трубопроводи, що подають воду в рядки рослин; крапельниці, оснащені пристроєм для утворення краплин через певні інтервали часу. Поливні трубопроводи з крапельницями можна укладати як на поверхні ґрунту, так і на певній глибині. Найбільш відповідальним елементом системи є крапельниця, що забезпечує безперервне подання води й  регулювання водопостачання  залежно від інтенсивності водоспоживання.</w:t>
      </w:r>
    </w:p>
    <w:p w:rsidR="007325F9" w:rsidRDefault="007325F9" w:rsidP="007325F9">
      <w:pPr>
        <w:spacing w:line="276" w:lineRule="auto"/>
        <w:jc w:val="center"/>
        <w:rPr>
          <w:sz w:val="16"/>
          <w:szCs w:val="16"/>
        </w:rPr>
      </w:pPr>
    </w:p>
    <w:p w:rsidR="007325F9" w:rsidRDefault="007325F9" w:rsidP="007325F9">
      <w:pPr>
        <w:spacing w:line="276" w:lineRule="auto"/>
        <w:jc w:val="center"/>
        <w:rPr>
          <w:sz w:val="32"/>
          <w:szCs w:val="32"/>
        </w:rPr>
      </w:pPr>
      <w:r>
        <w:rPr>
          <w:noProof/>
          <w:sz w:val="32"/>
          <w:szCs w:val="32"/>
          <w:lang w:val="ru-RU" w:eastAsia="ru-RU"/>
        </w:rPr>
        <w:lastRenderedPageBreak/>
        <w:drawing>
          <wp:inline distT="0" distB="0" distL="0" distR="0">
            <wp:extent cx="4476750" cy="3117215"/>
            <wp:effectExtent l="0" t="0" r="0" b="6985"/>
            <wp:docPr id="1" name="Рисунок 1"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0" descr="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0" cy="3117215"/>
                    </a:xfrm>
                    <a:prstGeom prst="rect">
                      <a:avLst/>
                    </a:prstGeom>
                    <a:noFill/>
                    <a:ln>
                      <a:noFill/>
                    </a:ln>
                  </pic:spPr>
                </pic:pic>
              </a:graphicData>
            </a:graphic>
          </wp:inline>
        </w:drawing>
      </w:r>
    </w:p>
    <w:p w:rsidR="007325F9" w:rsidRDefault="007325F9" w:rsidP="007325F9">
      <w:pPr>
        <w:spacing w:before="240" w:line="276" w:lineRule="auto"/>
        <w:ind w:left="1701" w:hanging="1276"/>
        <w:rPr>
          <w:sz w:val="32"/>
          <w:szCs w:val="32"/>
        </w:rPr>
      </w:pPr>
      <w:r>
        <w:rPr>
          <w:sz w:val="32"/>
          <w:szCs w:val="32"/>
        </w:rPr>
        <w:t>Рис. 122. Система краплинного зрошення:</w:t>
      </w:r>
    </w:p>
    <w:p w:rsidR="007325F9" w:rsidRDefault="007325F9" w:rsidP="007325F9">
      <w:pPr>
        <w:autoSpaceDE w:val="0"/>
        <w:autoSpaceDN w:val="0"/>
        <w:adjustRightInd w:val="0"/>
        <w:spacing w:line="276" w:lineRule="auto"/>
        <w:ind w:left="284" w:right="284"/>
        <w:jc w:val="both"/>
        <w:rPr>
          <w:rFonts w:asciiTheme="minorHAnsi" w:hAnsiTheme="minorHAnsi"/>
          <w:sz w:val="28"/>
          <w:szCs w:val="28"/>
        </w:rPr>
      </w:pPr>
      <w:r>
        <w:rPr>
          <w:rFonts w:asciiTheme="minorHAnsi" w:hAnsiTheme="minorHAnsi"/>
          <w:sz w:val="28"/>
          <w:szCs w:val="28"/>
        </w:rPr>
        <w:t>1 – джерело зрошення; 2 – насосна станція; 3 – фільтр;</w:t>
      </w:r>
      <w:r>
        <w:rPr>
          <w:rFonts w:asciiTheme="minorHAnsi" w:hAnsiTheme="minorHAnsi"/>
          <w:sz w:val="28"/>
          <w:szCs w:val="28"/>
        </w:rPr>
        <w:br/>
        <w:t>4 – контрольні прилади (манометр, витратомір); 5 – бак-підживлювач; 6 – розподільний трубопровід; 7 – крапельниця;</w:t>
      </w:r>
      <w:r>
        <w:rPr>
          <w:rFonts w:asciiTheme="minorHAnsi" w:hAnsiTheme="minorHAnsi"/>
          <w:sz w:val="28"/>
          <w:szCs w:val="28"/>
        </w:rPr>
        <w:br/>
        <w:t>8 – рослини.</w:t>
      </w:r>
    </w:p>
    <w:p w:rsidR="007325F9" w:rsidRDefault="007325F9" w:rsidP="007325F9">
      <w:pPr>
        <w:spacing w:line="276" w:lineRule="auto"/>
        <w:rPr>
          <w:sz w:val="16"/>
          <w:szCs w:val="16"/>
        </w:rPr>
      </w:pPr>
    </w:p>
    <w:p w:rsidR="007325F9" w:rsidRDefault="007325F9" w:rsidP="007325F9">
      <w:pPr>
        <w:spacing w:line="276" w:lineRule="auto"/>
        <w:ind w:firstLine="709"/>
        <w:jc w:val="both"/>
        <w:rPr>
          <w:sz w:val="32"/>
          <w:szCs w:val="32"/>
        </w:rPr>
      </w:pPr>
      <w:r>
        <w:rPr>
          <w:sz w:val="32"/>
          <w:szCs w:val="32"/>
        </w:rPr>
        <w:t>Звичайно поливні трубопроводи укладають на весь вегетаційний період, тому для них доцільно використовувати пластмасові труби або гнучкі шланги.</w:t>
      </w:r>
    </w:p>
    <w:p w:rsidR="007325F9" w:rsidRDefault="007325F9" w:rsidP="007325F9">
      <w:pPr>
        <w:spacing w:line="276" w:lineRule="auto"/>
        <w:ind w:firstLine="709"/>
        <w:jc w:val="both"/>
        <w:rPr>
          <w:sz w:val="32"/>
          <w:szCs w:val="32"/>
        </w:rPr>
      </w:pPr>
      <w:r>
        <w:rPr>
          <w:sz w:val="32"/>
          <w:szCs w:val="32"/>
        </w:rPr>
        <w:t>Щоб система краплинного зрошення забезпечувала рівномірне подавання води й  регулювання утворення краплин, напір води в ній має становити 0,07…0,28 МПа.</w:t>
      </w:r>
    </w:p>
    <w:p w:rsidR="007325F9" w:rsidRDefault="007325F9" w:rsidP="007325F9">
      <w:pPr>
        <w:spacing w:line="276" w:lineRule="auto"/>
        <w:ind w:firstLine="709"/>
        <w:jc w:val="both"/>
        <w:rPr>
          <w:sz w:val="32"/>
          <w:szCs w:val="32"/>
        </w:rPr>
      </w:pPr>
      <w:r>
        <w:rPr>
          <w:sz w:val="32"/>
          <w:szCs w:val="32"/>
        </w:rPr>
        <w:t>Щоб запобігти засміченню крапельниць зависями, які є в зрошувальній воді, систему краплинного зрошення оснащують спеціальним фільтром. Відомо понад десять конструкцій крапельниць, що відрізняються способом регулювання (рис 123).</w:t>
      </w:r>
    </w:p>
    <w:tbl>
      <w:tblPr>
        <w:tblStyle w:val="a4"/>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00"/>
        <w:gridCol w:w="4590"/>
      </w:tblGrid>
      <w:tr w:rsidR="007325F9" w:rsidTr="007325F9">
        <w:trPr>
          <w:jc w:val="center"/>
        </w:trPr>
        <w:tc>
          <w:tcPr>
            <w:tcW w:w="4242" w:type="dxa"/>
            <w:vAlign w:val="center"/>
            <w:hideMark/>
          </w:tcPr>
          <w:p w:rsidR="007325F9" w:rsidRDefault="007325F9">
            <w:pPr>
              <w:spacing w:line="276" w:lineRule="auto"/>
              <w:jc w:val="center"/>
              <w:rPr>
                <w:sz w:val="32"/>
                <w:szCs w:val="32"/>
              </w:rPr>
            </w:pPr>
            <w:r>
              <w:rPr>
                <w:noProof/>
                <w:sz w:val="32"/>
                <w:szCs w:val="32"/>
                <w:lang w:val="ru-RU" w:eastAsia="ru-RU"/>
              </w:rPr>
              <w:lastRenderedPageBreak/>
              <w:drawing>
                <wp:inline distT="0" distB="0" distL="0" distR="0">
                  <wp:extent cx="2584450" cy="2027555"/>
                  <wp:effectExtent l="133350" t="114300" r="139700" b="144145"/>
                  <wp:docPr id="158" name="Рисунок 158" descr="7.13.jpg"/>
                  <wp:cNvGraphicFramePr/>
                  <a:graphic xmlns:a="http://schemas.openxmlformats.org/drawingml/2006/main">
                    <a:graphicData uri="http://schemas.openxmlformats.org/drawingml/2006/picture">
                      <pic:pic xmlns:pic="http://schemas.openxmlformats.org/drawingml/2006/picture">
                        <pic:nvPicPr>
                          <pic:cNvPr id="158" name="Рисунок 79" descr="7.13.jpg"/>
                          <pic:cNvPicPr/>
                        </pic:nvPicPr>
                        <pic:blipFill>
                          <a:blip r:embed="rId15" cstate="print">
                            <a:lum bright="18000" contrast="40000"/>
                          </a:blip>
                          <a:srcRect l="5920" r="5920"/>
                          <a:stretch>
                            <a:fillRect/>
                          </a:stretch>
                        </pic:blipFill>
                        <pic:spPr>
                          <a:xfrm>
                            <a:off x="0" y="0"/>
                            <a:ext cx="2375535" cy="1837690"/>
                          </a:xfrm>
                          <a:prstGeom prst="rect">
                            <a:avLst/>
                          </a:prstGeom>
                          <a:solidFill>
                            <a:srgbClr val="FFFFFF">
                              <a:shade val="85000"/>
                            </a:srgbClr>
                          </a:solidFill>
                          <a:ln w="88900" cap="sq">
                            <a:solidFill>
                              <a:schemeClr val="tx2">
                                <a:lumMod val="20000"/>
                                <a:lumOff val="8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4424" w:type="dxa"/>
            <w:vAlign w:val="center"/>
            <w:hideMark/>
          </w:tcPr>
          <w:p w:rsidR="007325F9" w:rsidRDefault="007325F9">
            <w:pPr>
              <w:spacing w:line="276" w:lineRule="auto"/>
              <w:jc w:val="center"/>
              <w:rPr>
                <w:sz w:val="32"/>
                <w:szCs w:val="32"/>
              </w:rPr>
            </w:pPr>
            <w:r>
              <w:rPr>
                <w:noProof/>
                <w:sz w:val="32"/>
                <w:szCs w:val="32"/>
                <w:lang w:val="ru-RU" w:eastAsia="ru-RU"/>
              </w:rPr>
              <w:drawing>
                <wp:inline distT="0" distB="0" distL="0" distR="0">
                  <wp:extent cx="2639695" cy="2027555"/>
                  <wp:effectExtent l="133350" t="114300" r="141605" b="125095"/>
                  <wp:docPr id="160" name="Рисунок 160" descr="7.13.jpg"/>
                  <wp:cNvGraphicFramePr/>
                  <a:graphic xmlns:a="http://schemas.openxmlformats.org/drawingml/2006/main">
                    <a:graphicData uri="http://schemas.openxmlformats.org/drawingml/2006/picture">
                      <pic:pic xmlns:pic="http://schemas.openxmlformats.org/drawingml/2006/picture">
                        <pic:nvPicPr>
                          <pic:cNvPr id="160" name="Рисунок 1" descr="7.13.jpg"/>
                          <pic:cNvPicPr/>
                        </pic:nvPicPr>
                        <pic:blipFill>
                          <a:blip r:embed="rId16" cstate="print"/>
                          <a:srcRect l="5277" r="4617" b="6360"/>
                          <a:stretch>
                            <a:fillRect/>
                          </a:stretch>
                        </pic:blipFill>
                        <pic:spPr>
                          <a:xfrm>
                            <a:off x="0" y="0"/>
                            <a:ext cx="2430780" cy="1835785"/>
                          </a:xfrm>
                          <a:prstGeom prst="rect">
                            <a:avLst/>
                          </a:prstGeom>
                          <a:solidFill>
                            <a:srgbClr val="FFFFFF">
                              <a:shade val="85000"/>
                            </a:srgbClr>
                          </a:solidFill>
                          <a:ln w="88900" cap="sq">
                            <a:solidFill>
                              <a:schemeClr val="tx2">
                                <a:lumMod val="20000"/>
                                <a:lumOff val="8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r w:rsidR="007325F9" w:rsidTr="007325F9">
        <w:trPr>
          <w:jc w:val="center"/>
        </w:trPr>
        <w:tc>
          <w:tcPr>
            <w:tcW w:w="4242" w:type="dxa"/>
            <w:vAlign w:val="center"/>
            <w:hideMark/>
          </w:tcPr>
          <w:p w:rsidR="007325F9" w:rsidRDefault="007325F9">
            <w:pPr>
              <w:spacing w:line="276" w:lineRule="auto"/>
              <w:jc w:val="center"/>
              <w:rPr>
                <w:sz w:val="32"/>
                <w:szCs w:val="32"/>
              </w:rPr>
            </w:pPr>
            <w:r>
              <w:rPr>
                <w:sz w:val="32"/>
                <w:szCs w:val="32"/>
              </w:rPr>
              <w:t>а) із поверхні;</w:t>
            </w:r>
          </w:p>
        </w:tc>
        <w:tc>
          <w:tcPr>
            <w:tcW w:w="4424" w:type="dxa"/>
            <w:vAlign w:val="center"/>
            <w:hideMark/>
          </w:tcPr>
          <w:p w:rsidR="007325F9" w:rsidRDefault="007325F9">
            <w:pPr>
              <w:spacing w:line="276" w:lineRule="auto"/>
              <w:jc w:val="center"/>
              <w:rPr>
                <w:sz w:val="32"/>
                <w:szCs w:val="32"/>
              </w:rPr>
            </w:pPr>
            <w:r>
              <w:rPr>
                <w:sz w:val="32"/>
                <w:szCs w:val="32"/>
              </w:rPr>
              <w:t xml:space="preserve">б) </w:t>
            </w:r>
            <w:proofErr w:type="spellStart"/>
            <w:r>
              <w:rPr>
                <w:sz w:val="32"/>
                <w:szCs w:val="32"/>
              </w:rPr>
              <w:t>мікротрубки</w:t>
            </w:r>
            <w:proofErr w:type="spellEnd"/>
            <w:r>
              <w:rPr>
                <w:sz w:val="32"/>
                <w:szCs w:val="32"/>
              </w:rPr>
              <w:t>;</w:t>
            </w:r>
          </w:p>
        </w:tc>
      </w:tr>
      <w:tr w:rsidR="007325F9" w:rsidTr="007325F9">
        <w:trPr>
          <w:jc w:val="center"/>
        </w:trPr>
        <w:tc>
          <w:tcPr>
            <w:tcW w:w="4242" w:type="dxa"/>
            <w:vAlign w:val="center"/>
            <w:hideMark/>
          </w:tcPr>
          <w:p w:rsidR="007325F9" w:rsidRDefault="007325F9">
            <w:pPr>
              <w:spacing w:line="276" w:lineRule="auto"/>
              <w:jc w:val="center"/>
              <w:rPr>
                <w:sz w:val="32"/>
                <w:szCs w:val="32"/>
              </w:rPr>
            </w:pPr>
            <w:r>
              <w:rPr>
                <w:noProof/>
                <w:sz w:val="32"/>
                <w:szCs w:val="32"/>
                <w:lang w:val="ru-RU" w:eastAsia="ru-RU"/>
              </w:rPr>
              <w:drawing>
                <wp:inline distT="0" distB="0" distL="0" distR="0">
                  <wp:extent cx="2584450" cy="2027555"/>
                  <wp:effectExtent l="133350" t="114300" r="139700" b="125095"/>
                  <wp:docPr id="161" name="Рисунок 161" descr="7.13.jpg"/>
                  <wp:cNvGraphicFramePr/>
                  <a:graphic xmlns:a="http://schemas.openxmlformats.org/drawingml/2006/main">
                    <a:graphicData uri="http://schemas.openxmlformats.org/drawingml/2006/picture">
                      <pic:pic xmlns:pic="http://schemas.openxmlformats.org/drawingml/2006/picture">
                        <pic:nvPicPr>
                          <pic:cNvPr id="161" name="Рисунок 79" descr="7.13.jpg"/>
                          <pic:cNvPicPr/>
                        </pic:nvPicPr>
                        <pic:blipFill>
                          <a:blip r:embed="rId17" cstate="print"/>
                          <a:stretch>
                            <a:fillRect/>
                          </a:stretch>
                        </pic:blipFill>
                        <pic:spPr>
                          <a:xfrm>
                            <a:off x="0" y="0"/>
                            <a:ext cx="2382520" cy="1835785"/>
                          </a:xfrm>
                          <a:prstGeom prst="rect">
                            <a:avLst/>
                          </a:prstGeom>
                          <a:solidFill>
                            <a:srgbClr val="FFFFFF">
                              <a:shade val="85000"/>
                            </a:srgbClr>
                          </a:solidFill>
                          <a:ln w="88900" cap="sq">
                            <a:solidFill>
                              <a:schemeClr val="tx2">
                                <a:lumMod val="20000"/>
                                <a:lumOff val="8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c>
          <w:tcPr>
            <w:tcW w:w="4424" w:type="dxa"/>
            <w:vAlign w:val="center"/>
            <w:hideMark/>
          </w:tcPr>
          <w:p w:rsidR="007325F9" w:rsidRDefault="007325F9">
            <w:pPr>
              <w:spacing w:line="276" w:lineRule="auto"/>
              <w:jc w:val="center"/>
              <w:rPr>
                <w:sz w:val="32"/>
                <w:szCs w:val="32"/>
              </w:rPr>
            </w:pPr>
            <w:r>
              <w:rPr>
                <w:noProof/>
                <w:sz w:val="32"/>
                <w:szCs w:val="32"/>
                <w:lang w:val="ru-RU" w:eastAsia="ru-RU"/>
              </w:rPr>
              <w:drawing>
                <wp:inline distT="0" distB="0" distL="0" distR="0">
                  <wp:extent cx="2568575" cy="2011680"/>
                  <wp:effectExtent l="133350" t="114300" r="155575" b="121920"/>
                  <wp:docPr id="163" name="Рисунок 163" descr="7.13.jpg"/>
                  <wp:cNvGraphicFramePr/>
                  <a:graphic xmlns:a="http://schemas.openxmlformats.org/drawingml/2006/main">
                    <a:graphicData uri="http://schemas.openxmlformats.org/drawingml/2006/picture">
                      <pic:pic xmlns:pic="http://schemas.openxmlformats.org/drawingml/2006/picture">
                        <pic:nvPicPr>
                          <pic:cNvPr id="163" name="Рисунок 79" descr="7.13.jpg"/>
                          <pic:cNvPicPr/>
                        </pic:nvPicPr>
                        <pic:blipFill>
                          <a:blip r:embed="rId18" cstate="print"/>
                          <a:stretch>
                            <a:fillRect/>
                          </a:stretch>
                        </pic:blipFill>
                        <pic:spPr>
                          <a:xfrm>
                            <a:off x="0" y="0"/>
                            <a:ext cx="2375535" cy="1819910"/>
                          </a:xfrm>
                          <a:prstGeom prst="rect">
                            <a:avLst/>
                          </a:prstGeom>
                          <a:solidFill>
                            <a:srgbClr val="FFFFFF">
                              <a:shade val="85000"/>
                            </a:srgbClr>
                          </a:solidFill>
                          <a:ln w="88900" cap="sq">
                            <a:solidFill>
                              <a:schemeClr val="tx2">
                                <a:lumMod val="20000"/>
                                <a:lumOff val="80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tc>
      </w:tr>
      <w:tr w:rsidR="007325F9" w:rsidTr="007325F9">
        <w:trPr>
          <w:jc w:val="center"/>
        </w:trPr>
        <w:tc>
          <w:tcPr>
            <w:tcW w:w="4242" w:type="dxa"/>
            <w:vAlign w:val="center"/>
            <w:hideMark/>
          </w:tcPr>
          <w:p w:rsidR="007325F9" w:rsidRDefault="007325F9">
            <w:pPr>
              <w:spacing w:line="276" w:lineRule="auto"/>
              <w:jc w:val="center"/>
              <w:rPr>
                <w:sz w:val="32"/>
                <w:szCs w:val="32"/>
              </w:rPr>
            </w:pPr>
            <w:r>
              <w:rPr>
                <w:sz w:val="32"/>
                <w:szCs w:val="32"/>
              </w:rPr>
              <w:t>в) спірально-лабіринтові;</w:t>
            </w:r>
          </w:p>
        </w:tc>
        <w:tc>
          <w:tcPr>
            <w:tcW w:w="4424" w:type="dxa"/>
            <w:vAlign w:val="center"/>
            <w:hideMark/>
          </w:tcPr>
          <w:p w:rsidR="007325F9" w:rsidRDefault="007325F9">
            <w:pPr>
              <w:spacing w:line="276" w:lineRule="auto"/>
              <w:jc w:val="center"/>
              <w:rPr>
                <w:sz w:val="32"/>
                <w:szCs w:val="32"/>
              </w:rPr>
            </w:pPr>
            <w:r>
              <w:rPr>
                <w:sz w:val="32"/>
                <w:szCs w:val="32"/>
              </w:rPr>
              <w:t>г) монтажний елемент.</w:t>
            </w:r>
          </w:p>
        </w:tc>
      </w:tr>
    </w:tbl>
    <w:p w:rsidR="007325F9" w:rsidRDefault="007325F9" w:rsidP="007325F9">
      <w:pPr>
        <w:spacing w:before="240" w:line="276" w:lineRule="auto"/>
        <w:ind w:left="1701" w:hanging="1276"/>
        <w:rPr>
          <w:sz w:val="32"/>
          <w:szCs w:val="32"/>
        </w:rPr>
      </w:pPr>
      <w:r>
        <w:rPr>
          <w:sz w:val="32"/>
          <w:szCs w:val="32"/>
        </w:rPr>
        <w:t>Рис. 123. Конструкції крапельниць</w:t>
      </w:r>
    </w:p>
    <w:p w:rsidR="007325F9" w:rsidRDefault="007325F9" w:rsidP="007325F9">
      <w:pPr>
        <w:spacing w:line="276" w:lineRule="auto"/>
        <w:jc w:val="center"/>
        <w:rPr>
          <w:sz w:val="16"/>
          <w:szCs w:val="16"/>
        </w:rPr>
      </w:pPr>
    </w:p>
    <w:p w:rsidR="007325F9" w:rsidRDefault="007325F9" w:rsidP="007325F9">
      <w:pPr>
        <w:spacing w:line="276" w:lineRule="auto"/>
        <w:ind w:firstLine="709"/>
        <w:jc w:val="both"/>
        <w:rPr>
          <w:sz w:val="32"/>
          <w:szCs w:val="32"/>
        </w:rPr>
      </w:pPr>
      <w:r>
        <w:rPr>
          <w:sz w:val="32"/>
          <w:szCs w:val="32"/>
        </w:rPr>
        <w:t>За конструктивними особливостями крапельниці виокремленні на:</w:t>
      </w:r>
    </w:p>
    <w:p w:rsidR="007325F9" w:rsidRDefault="007325F9" w:rsidP="007325F9">
      <w:pPr>
        <w:pStyle w:val="a3"/>
        <w:numPr>
          <w:ilvl w:val="0"/>
          <w:numId w:val="2"/>
        </w:numPr>
        <w:spacing w:line="276" w:lineRule="auto"/>
        <w:ind w:left="1134" w:hanging="357"/>
        <w:rPr>
          <w:sz w:val="32"/>
          <w:szCs w:val="32"/>
        </w:rPr>
      </w:pPr>
      <w:proofErr w:type="spellStart"/>
      <w:r>
        <w:rPr>
          <w:sz w:val="32"/>
          <w:szCs w:val="32"/>
        </w:rPr>
        <w:t>мікротрубки</w:t>
      </w:r>
      <w:proofErr w:type="spellEnd"/>
      <w:r>
        <w:rPr>
          <w:sz w:val="32"/>
          <w:szCs w:val="32"/>
        </w:rPr>
        <w:t>;</w:t>
      </w:r>
    </w:p>
    <w:p w:rsidR="007325F9" w:rsidRDefault="007325F9" w:rsidP="007325F9">
      <w:pPr>
        <w:pStyle w:val="a3"/>
        <w:numPr>
          <w:ilvl w:val="0"/>
          <w:numId w:val="2"/>
        </w:numPr>
        <w:spacing w:line="276" w:lineRule="auto"/>
        <w:ind w:left="1134" w:hanging="357"/>
        <w:rPr>
          <w:sz w:val="32"/>
          <w:szCs w:val="32"/>
        </w:rPr>
      </w:pPr>
      <w:r>
        <w:rPr>
          <w:sz w:val="32"/>
          <w:szCs w:val="32"/>
        </w:rPr>
        <w:t>спірально-лабіринтові;</w:t>
      </w:r>
    </w:p>
    <w:p w:rsidR="007325F9" w:rsidRDefault="007325F9" w:rsidP="007325F9">
      <w:pPr>
        <w:pStyle w:val="a3"/>
        <w:numPr>
          <w:ilvl w:val="0"/>
          <w:numId w:val="2"/>
        </w:numPr>
        <w:spacing w:line="276" w:lineRule="auto"/>
        <w:ind w:left="1134" w:hanging="357"/>
        <w:rPr>
          <w:sz w:val="32"/>
          <w:szCs w:val="32"/>
        </w:rPr>
      </w:pPr>
      <w:r>
        <w:rPr>
          <w:sz w:val="32"/>
          <w:szCs w:val="32"/>
        </w:rPr>
        <w:t>вихрові;</w:t>
      </w:r>
    </w:p>
    <w:p w:rsidR="007325F9" w:rsidRDefault="007325F9" w:rsidP="007325F9">
      <w:pPr>
        <w:pStyle w:val="a3"/>
        <w:numPr>
          <w:ilvl w:val="0"/>
          <w:numId w:val="2"/>
        </w:numPr>
        <w:spacing w:line="276" w:lineRule="auto"/>
        <w:ind w:left="1134" w:hanging="357"/>
        <w:rPr>
          <w:sz w:val="32"/>
          <w:szCs w:val="32"/>
        </w:rPr>
      </w:pPr>
      <w:r>
        <w:rPr>
          <w:sz w:val="32"/>
          <w:szCs w:val="32"/>
        </w:rPr>
        <w:t>із дросельним вихідним отвором;</w:t>
      </w:r>
    </w:p>
    <w:p w:rsidR="007325F9" w:rsidRDefault="007325F9" w:rsidP="007325F9">
      <w:pPr>
        <w:pStyle w:val="a3"/>
        <w:numPr>
          <w:ilvl w:val="0"/>
          <w:numId w:val="2"/>
        </w:numPr>
        <w:spacing w:line="276" w:lineRule="auto"/>
        <w:ind w:left="1134" w:hanging="357"/>
        <w:rPr>
          <w:sz w:val="32"/>
          <w:szCs w:val="32"/>
        </w:rPr>
      </w:pPr>
      <w:r>
        <w:rPr>
          <w:sz w:val="32"/>
          <w:szCs w:val="32"/>
        </w:rPr>
        <w:t>із нагромадженням об’єму води.</w:t>
      </w:r>
    </w:p>
    <w:p w:rsidR="007325F9" w:rsidRDefault="007325F9" w:rsidP="007325F9">
      <w:pPr>
        <w:spacing w:line="276" w:lineRule="auto"/>
        <w:ind w:firstLine="709"/>
        <w:jc w:val="both"/>
        <w:rPr>
          <w:sz w:val="32"/>
          <w:szCs w:val="32"/>
        </w:rPr>
      </w:pPr>
      <w:r>
        <w:rPr>
          <w:sz w:val="32"/>
          <w:szCs w:val="32"/>
        </w:rPr>
        <w:t>Найбільш простими є крапельниці-</w:t>
      </w:r>
      <w:proofErr w:type="spellStart"/>
      <w:r>
        <w:rPr>
          <w:sz w:val="32"/>
          <w:szCs w:val="32"/>
        </w:rPr>
        <w:t>мікротрубки</w:t>
      </w:r>
      <w:proofErr w:type="spellEnd"/>
      <w:r>
        <w:rPr>
          <w:sz w:val="32"/>
          <w:szCs w:val="32"/>
        </w:rPr>
        <w:t xml:space="preserve"> із діаметром вихідного отвору — 1…2 мм. Краще працюють крапельниці, встановлені вище поверхні ґрунту на 0,5…1 мм.</w:t>
      </w:r>
      <w:r>
        <w:rPr>
          <w:sz w:val="32"/>
          <w:szCs w:val="32"/>
        </w:rPr>
        <w:br/>
        <w:t>Витрату води крапельницями регулюють при напорах до 2 м — зміною поперечного перерізу отвору, при напорах більших 2 м — спеціальними пристроями, регуляторами тиску.</w:t>
      </w:r>
    </w:p>
    <w:p w:rsidR="000F3215" w:rsidRDefault="007325F9">
      <w:bookmarkStart w:id="0" w:name="_GoBack"/>
      <w:bookmarkEnd w:id="0"/>
    </w:p>
    <w:sectPr w:rsidR="000F32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64A7D"/>
    <w:multiLevelType w:val="hybridMultilevel"/>
    <w:tmpl w:val="16FC473C"/>
    <w:lvl w:ilvl="0" w:tplc="32845CCA">
      <w:start w:val="1"/>
      <w:numFmt w:val="bullet"/>
      <w:lvlText w:val=""/>
      <w:lvlJc w:val="left"/>
      <w:pPr>
        <w:ind w:left="720" w:hanging="360"/>
      </w:pPr>
      <w:rPr>
        <w:rFonts w:ascii="Symbol" w:hAnsi="Symbol" w:hint="default"/>
        <w:color w:val="76923C" w:themeColor="accent3" w:themeShade="BF"/>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
    <w:nsid w:val="51AB5537"/>
    <w:multiLevelType w:val="hybridMultilevel"/>
    <w:tmpl w:val="C00078B6"/>
    <w:lvl w:ilvl="0" w:tplc="BE40152A">
      <w:start w:val="1"/>
      <w:numFmt w:val="russianLower"/>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5F9"/>
    <w:rsid w:val="0018664E"/>
    <w:rsid w:val="007325F9"/>
    <w:rsid w:val="00F24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5F9"/>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25F9"/>
    <w:pPr>
      <w:ind w:left="720"/>
      <w:contextualSpacing/>
    </w:pPr>
  </w:style>
  <w:style w:type="table" w:styleId="a4">
    <w:name w:val="Table Grid"/>
    <w:basedOn w:val="a1"/>
    <w:uiPriority w:val="99"/>
    <w:rsid w:val="007325F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тиль2"/>
    <w:basedOn w:val="a1"/>
    <w:uiPriority w:val="99"/>
    <w:qFormat/>
    <w:rsid w:val="007325F9"/>
    <w:pPr>
      <w:spacing w:after="0" w:line="240" w:lineRule="auto"/>
      <w:jc w:val="center"/>
    </w:pPr>
    <w:rPr>
      <w:rFonts w:cs="Times New Roman"/>
      <w:sz w:val="28"/>
    </w:rPr>
    <w:tblPr>
      <w:tblStyleRowBandSize w:val="1"/>
      <w:tblInd w:w="0" w:type="nil"/>
      <w:tblBorders>
        <w:top w:val="single" w:sz="8" w:space="0" w:color="76923C" w:themeColor="accent3" w:themeShade="BF"/>
        <w:left w:val="single" w:sz="8" w:space="0" w:color="76923C" w:themeColor="accent3" w:themeShade="BF"/>
        <w:bottom w:val="single" w:sz="8" w:space="0" w:color="76923C" w:themeColor="accent3" w:themeShade="BF"/>
        <w:right w:val="single" w:sz="8" w:space="0" w:color="76923C" w:themeColor="accent3" w:themeShade="BF"/>
        <w:insideH w:val="single" w:sz="8" w:space="0" w:color="76923C" w:themeColor="accent3" w:themeShade="BF"/>
        <w:insideV w:val="single" w:sz="8" w:space="0" w:color="76923C" w:themeColor="accent3" w:themeShade="BF"/>
      </w:tblBorders>
    </w:tblPr>
    <w:tcPr>
      <w:shd w:val="clear" w:color="auto" w:fill="EAF1DD" w:themeFill="accent3" w:themeFillTint="33"/>
      <w:vAlign w:val="center"/>
    </w:tcPr>
    <w:tblStylePr w:type="firstRow">
      <w:pPr>
        <w:jc w:val="center"/>
      </w:pPr>
      <w:tblPr/>
      <w:tcPr>
        <w:shd w:val="clear" w:color="auto" w:fill="D6E3BC" w:themeFill="accent3" w:themeFillTint="66"/>
      </w:tcPr>
    </w:tblStylePr>
    <w:tblStylePr w:type="firstCol">
      <w:pPr>
        <w:jc w:val="left"/>
      </w:pPr>
    </w:tblStylePr>
    <w:tblStylePr w:type="band1Horz">
      <w:tblPr/>
      <w:tcPr>
        <w:shd w:val="clear" w:color="auto" w:fill="FFFFFF" w:themeFill="background1"/>
      </w:tcPr>
    </w:tblStylePr>
  </w:style>
  <w:style w:type="paragraph" w:styleId="a5">
    <w:name w:val="Balloon Text"/>
    <w:basedOn w:val="a"/>
    <w:link w:val="a6"/>
    <w:uiPriority w:val="99"/>
    <w:semiHidden/>
    <w:unhideWhenUsed/>
    <w:rsid w:val="007325F9"/>
    <w:rPr>
      <w:rFonts w:ascii="Tahoma" w:hAnsi="Tahoma" w:cs="Tahoma"/>
      <w:sz w:val="16"/>
      <w:szCs w:val="16"/>
    </w:rPr>
  </w:style>
  <w:style w:type="character" w:customStyle="1" w:styleId="a6">
    <w:name w:val="Текст выноски Знак"/>
    <w:basedOn w:val="a0"/>
    <w:link w:val="a5"/>
    <w:uiPriority w:val="99"/>
    <w:semiHidden/>
    <w:rsid w:val="007325F9"/>
    <w:rPr>
      <w:rFonts w:ascii="Tahoma" w:eastAsia="Times New Roman" w:hAnsi="Tahoma" w:cs="Tahoma"/>
      <w:sz w:val="16"/>
      <w:szCs w:val="16"/>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5F9"/>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25F9"/>
    <w:pPr>
      <w:ind w:left="720"/>
      <w:contextualSpacing/>
    </w:pPr>
  </w:style>
  <w:style w:type="table" w:styleId="a4">
    <w:name w:val="Table Grid"/>
    <w:basedOn w:val="a1"/>
    <w:uiPriority w:val="99"/>
    <w:rsid w:val="007325F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тиль2"/>
    <w:basedOn w:val="a1"/>
    <w:uiPriority w:val="99"/>
    <w:qFormat/>
    <w:rsid w:val="007325F9"/>
    <w:pPr>
      <w:spacing w:after="0" w:line="240" w:lineRule="auto"/>
      <w:jc w:val="center"/>
    </w:pPr>
    <w:rPr>
      <w:rFonts w:cs="Times New Roman"/>
      <w:sz w:val="28"/>
    </w:rPr>
    <w:tblPr>
      <w:tblStyleRowBandSize w:val="1"/>
      <w:tblInd w:w="0" w:type="nil"/>
      <w:tblBorders>
        <w:top w:val="single" w:sz="8" w:space="0" w:color="76923C" w:themeColor="accent3" w:themeShade="BF"/>
        <w:left w:val="single" w:sz="8" w:space="0" w:color="76923C" w:themeColor="accent3" w:themeShade="BF"/>
        <w:bottom w:val="single" w:sz="8" w:space="0" w:color="76923C" w:themeColor="accent3" w:themeShade="BF"/>
        <w:right w:val="single" w:sz="8" w:space="0" w:color="76923C" w:themeColor="accent3" w:themeShade="BF"/>
        <w:insideH w:val="single" w:sz="8" w:space="0" w:color="76923C" w:themeColor="accent3" w:themeShade="BF"/>
        <w:insideV w:val="single" w:sz="8" w:space="0" w:color="76923C" w:themeColor="accent3" w:themeShade="BF"/>
      </w:tblBorders>
    </w:tblPr>
    <w:tcPr>
      <w:shd w:val="clear" w:color="auto" w:fill="EAF1DD" w:themeFill="accent3" w:themeFillTint="33"/>
      <w:vAlign w:val="center"/>
    </w:tcPr>
    <w:tblStylePr w:type="firstRow">
      <w:pPr>
        <w:jc w:val="center"/>
      </w:pPr>
      <w:tblPr/>
      <w:tcPr>
        <w:shd w:val="clear" w:color="auto" w:fill="D6E3BC" w:themeFill="accent3" w:themeFillTint="66"/>
      </w:tcPr>
    </w:tblStylePr>
    <w:tblStylePr w:type="firstCol">
      <w:pPr>
        <w:jc w:val="left"/>
      </w:pPr>
    </w:tblStylePr>
    <w:tblStylePr w:type="band1Horz">
      <w:tblPr/>
      <w:tcPr>
        <w:shd w:val="clear" w:color="auto" w:fill="FFFFFF" w:themeFill="background1"/>
      </w:tcPr>
    </w:tblStylePr>
  </w:style>
  <w:style w:type="paragraph" w:styleId="a5">
    <w:name w:val="Balloon Text"/>
    <w:basedOn w:val="a"/>
    <w:link w:val="a6"/>
    <w:uiPriority w:val="99"/>
    <w:semiHidden/>
    <w:unhideWhenUsed/>
    <w:rsid w:val="007325F9"/>
    <w:rPr>
      <w:rFonts w:ascii="Tahoma" w:hAnsi="Tahoma" w:cs="Tahoma"/>
      <w:sz w:val="16"/>
      <w:szCs w:val="16"/>
    </w:rPr>
  </w:style>
  <w:style w:type="character" w:customStyle="1" w:styleId="a6">
    <w:name w:val="Текст выноски Знак"/>
    <w:basedOn w:val="a0"/>
    <w:link w:val="a5"/>
    <w:uiPriority w:val="99"/>
    <w:semiHidden/>
    <w:rsid w:val="007325F9"/>
    <w:rPr>
      <w:rFonts w:ascii="Tahoma" w:eastAsia="Times New Roman" w:hAnsi="Tahoma" w:cs="Tahoma"/>
      <w:sz w:val="16"/>
      <w:szCs w:val="16"/>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96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gi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1512</Words>
  <Characters>8621</Characters>
  <Application>Microsoft Office Word</Application>
  <DocSecurity>0</DocSecurity>
  <Lines>71</Lines>
  <Paragraphs>20</Paragraphs>
  <ScaleCrop>false</ScaleCrop>
  <Company/>
  <LinksUpToDate>false</LinksUpToDate>
  <CharactersWithSpaces>10113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2024-09-16T19:37:00Z</dcterms:created>
  <dcterms:modified xsi:type="dcterms:W3CDTF">2024-09-16T19:39:00Z</dcterms:modified>
</cp:coreProperties>
</file>