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П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рактичн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е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за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 xml:space="preserve">вдання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 xml:space="preserve">№ 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10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Навчальна дисципліна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</w:rPr>
        <w:t>Насінництво і селекції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Тема заняття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</w:rPr>
        <w:t>Розробка технологічних карт вирощування високоякісного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насіннєвого матеріалу технічних культур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 xml:space="preserve">Завдання 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</w:rPr>
        <w:t>Скласти агротехнічну частину технологічної карти інтенсивної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технології вирощування технічних культур у конкретних умовах Півдня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України</w:t>
      </w:r>
      <w:r>
        <w:rPr>
          <w:rFonts w:ascii="Times New Roman" w:hAnsi="Times New Roman"/>
          <w:sz w:val="28"/>
          <w:szCs w:val="28"/>
          <w:rtl w:val="0"/>
          <w:lang w:val="de-DE"/>
        </w:rPr>
        <w:t xml:space="preserve">. (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Додаток </w:t>
      </w:r>
      <w:r>
        <w:rPr>
          <w:rFonts w:ascii="Times New Roman" w:hAnsi="Times New Roman"/>
          <w:sz w:val="28"/>
          <w:szCs w:val="28"/>
          <w:rtl w:val="0"/>
        </w:rPr>
        <w:t>1.)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Агротехнічна частина технологічної карти технології вирощування на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насінницькі цілі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Культура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соняшник 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Г</w:t>
      </w:r>
      <w:r>
        <w:rPr>
          <w:rFonts w:ascii="Times New Roman" w:hAnsi="Times New Roman" w:hint="default"/>
          <w:sz w:val="28"/>
          <w:szCs w:val="28"/>
          <w:rtl w:val="0"/>
        </w:rPr>
        <w:t>осподарств</w:t>
      </w:r>
      <w:r>
        <w:rPr>
          <w:rFonts w:ascii="Times New Roman" w:hAnsi="Times New Roman" w:hint="default"/>
          <w:sz w:val="28"/>
          <w:szCs w:val="28"/>
          <w:rtl w:val="0"/>
        </w:rPr>
        <w:t>о</w:t>
      </w:r>
      <w:r>
        <w:rPr>
          <w:rFonts w:ascii="Times New Roman" w:hAnsi="Times New Roman"/>
          <w:sz w:val="28"/>
          <w:szCs w:val="28"/>
          <w:rtl w:val="0"/>
        </w:rPr>
        <w:t>:</w:t>
      </w:r>
      <w:r>
        <w:rPr>
          <w:rFonts w:ascii="Times New Roman" w:hAnsi="Times New Roman" w:hint="default"/>
          <w:sz w:val="28"/>
          <w:szCs w:val="28"/>
          <w:rtl w:val="0"/>
        </w:rPr>
        <w:t xml:space="preserve"> господарство Півдня України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Попередник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</w:rPr>
        <w:t>озима пшениця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Площа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/>
          <w:sz w:val="28"/>
          <w:szCs w:val="28"/>
          <w:rtl w:val="0"/>
        </w:rPr>
        <w:t xml:space="preserve">85 </w:t>
      </w:r>
      <w:r>
        <w:rPr>
          <w:rFonts w:ascii="Times New Roman" w:hAnsi="Times New Roman" w:hint="default"/>
          <w:sz w:val="28"/>
          <w:szCs w:val="28"/>
          <w:rtl w:val="0"/>
        </w:rPr>
        <w:t>га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Сорт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Балкан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Доза органічних добрив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вносять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мінеральних </w:t>
      </w:r>
      <w:r>
        <w:rPr>
          <w:rFonts w:ascii="Times New Roman" w:hAnsi="Times New Roman"/>
          <w:sz w:val="28"/>
          <w:szCs w:val="28"/>
          <w:rtl w:val="0"/>
          <w:lang w:val="da-DK"/>
        </w:rPr>
        <w:t>N30 P35 K60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Забур’яненість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</w:rPr>
        <w:t>кореневищні бур’яни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4"/>
          <w:szCs w:val="24"/>
        </w:rPr>
      </w:pPr>
    </w:p>
    <w:tbl>
      <w:tblPr>
        <w:tblW w:w="963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407"/>
        <w:gridCol w:w="2408"/>
        <w:gridCol w:w="2408"/>
        <w:gridCol w:w="2407"/>
      </w:tblGrid>
      <w:tr>
        <w:tblPrEx>
          <w:shd w:val="clear" w:color="auto" w:fill="auto"/>
        </w:tblPrEx>
        <w:trPr>
          <w:trHeight w:val="112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Назва робіт</w:t>
            </w:r>
            <w:r>
              <w:rPr>
                <w:rFonts w:ascii="Helvetica" w:hAnsi="Helvetica"/>
                <w:sz w:val="24"/>
                <w:szCs w:val="24"/>
                <w:rtl w:val="0"/>
              </w:rPr>
              <w:t>.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Агротехнічні</w:t>
            </w:r>
          </w:p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показники</w:t>
            </w:r>
            <w:r>
              <w:rPr>
                <w:rFonts w:ascii="Helvetica" w:hAnsi="Helvetica"/>
                <w:sz w:val="24"/>
                <w:szCs w:val="24"/>
                <w:rtl w:val="0"/>
              </w:rPr>
              <w:t>.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Одиниці виміру</w:t>
            </w:r>
            <w:r>
              <w:rPr>
                <w:rFonts w:ascii="Helvetica" w:hAnsi="Helvetica"/>
                <w:sz w:val="24"/>
                <w:szCs w:val="24"/>
                <w:rtl w:val="0"/>
              </w:rPr>
              <w:t>.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Склад агрегату</w:t>
            </w:r>
            <w:r>
              <w:rPr>
                <w:rFonts w:ascii="Helvetica" w:hAnsi="Helvetica"/>
                <w:sz w:val="24"/>
                <w:szCs w:val="24"/>
                <w:rtl w:val="0"/>
              </w:rPr>
              <w:t>,</w:t>
            </w:r>
          </w:p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марка трактора</w:t>
            </w:r>
            <w:r>
              <w:rPr>
                <w:rFonts w:ascii="Helvetica" w:hAnsi="Helvetica"/>
                <w:sz w:val="24"/>
                <w:szCs w:val="24"/>
                <w:rtl w:val="0"/>
              </w:rPr>
              <w:t xml:space="preserve">, </w:t>
            </w:r>
            <w:r>
              <w:rPr>
                <w:rFonts w:ascii="Helvetica" w:hAnsi="Helvetica" w:hint="default"/>
                <w:sz w:val="24"/>
                <w:szCs w:val="24"/>
                <w:rtl w:val="0"/>
              </w:rPr>
              <w:t>с</w:t>
            </w:r>
            <w:r>
              <w:rPr>
                <w:rFonts w:ascii="Helvetica" w:hAnsi="Helvetica"/>
                <w:sz w:val="24"/>
                <w:szCs w:val="24"/>
                <w:rtl w:val="0"/>
              </w:rPr>
              <w:t>-</w:t>
            </w:r>
          </w:p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</w:t>
            </w:r>
            <w:r>
              <w:rPr>
                <w:rFonts w:ascii="Helvetica" w:hAnsi="Helvetica"/>
                <w:sz w:val="24"/>
                <w:szCs w:val="24"/>
                <w:rtl w:val="0"/>
              </w:rPr>
              <w:t xml:space="preserve">. </w:t>
            </w:r>
            <w:r>
              <w:rPr>
                <w:rFonts w:ascii="Helvetica" w:hAnsi="Helvetica" w:hint="default"/>
                <w:sz w:val="24"/>
                <w:szCs w:val="24"/>
                <w:rtl w:val="0"/>
              </w:rPr>
              <w:t>машини</w:t>
            </w:r>
            <w:r>
              <w:rPr>
                <w:rFonts w:ascii="Helvetica" w:hAnsi="Helvetica"/>
                <w:sz w:val="24"/>
                <w:szCs w:val="24"/>
                <w:rtl w:val="0"/>
              </w:rPr>
              <w:t>,</w:t>
            </w:r>
          </w:p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знаряддя</w:t>
            </w:r>
            <w:r>
              <w:rPr>
                <w:rFonts w:ascii="Helvetica" w:hAnsi="Helvetica"/>
                <w:sz w:val="24"/>
                <w:szCs w:val="24"/>
                <w:rtl w:val="0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56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Лущення стерні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Після збирання попередника на </w:t>
            </w:r>
            <w:r>
              <w:rPr>
                <w:rFonts w:ascii="Times Roman" w:hAnsi="Times Roman"/>
                <w:rtl w:val="0"/>
              </w:rPr>
              <w:t>6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8 </w:t>
            </w:r>
            <w:r>
              <w:rPr>
                <w:rFonts w:ascii="Times Roman" w:hAnsi="Times Roman" w:hint="default"/>
                <w:rtl w:val="0"/>
              </w:rPr>
              <w:t>см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 xml:space="preserve">-82 + </w:t>
            </w:r>
            <w:r>
              <w:rPr>
                <w:rFonts w:ascii="Times Roman" w:hAnsi="Times Roman" w:hint="default"/>
                <w:rtl w:val="0"/>
              </w:rPr>
              <w:t>ЛДГ</w:t>
            </w:r>
            <w:r>
              <w:rPr>
                <w:rFonts w:ascii="Times Roman" w:hAnsi="Times Roman"/>
                <w:rtl w:val="0"/>
              </w:rPr>
              <w:t>-10</w:t>
            </w:r>
          </w:p>
        </w:tc>
      </w:tr>
      <w:tr>
        <w:tblPrEx>
          <w:shd w:val="clear" w:color="auto" w:fill="auto"/>
        </w:tblPrEx>
        <w:trPr>
          <w:trHeight w:val="140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Друге лущення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Через </w:t>
            </w:r>
            <w:r>
              <w:rPr>
                <w:rFonts w:ascii="Times Roman" w:hAnsi="Times Roman"/>
                <w:rtl w:val="0"/>
              </w:rPr>
              <w:t>10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12 </w:t>
            </w:r>
            <w:r>
              <w:rPr>
                <w:rFonts w:ascii="Times Roman" w:hAnsi="Times Roman" w:hint="default"/>
                <w:rtl w:val="0"/>
              </w:rPr>
              <w:t>днів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на </w:t>
            </w:r>
            <w:r>
              <w:rPr>
                <w:rFonts w:ascii="Times Roman" w:hAnsi="Times Roman"/>
                <w:rtl w:val="0"/>
              </w:rPr>
              <w:t>10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12 </w:t>
            </w:r>
            <w:r>
              <w:rPr>
                <w:rFonts w:ascii="Times Roman" w:hAnsi="Times Roman" w:hint="default"/>
                <w:rtl w:val="0"/>
              </w:rPr>
              <w:t>см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для виснаження кореневищних бур’янів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Т</w:t>
            </w:r>
            <w:r>
              <w:rPr>
                <w:rFonts w:ascii="Times Roman" w:hAnsi="Times Roman"/>
                <w:rtl w:val="0"/>
              </w:rPr>
              <w:t xml:space="preserve">-150 + </w:t>
            </w:r>
            <w:r>
              <w:rPr>
                <w:rFonts w:ascii="Times Roman" w:hAnsi="Times Roman" w:hint="default"/>
                <w:rtl w:val="0"/>
              </w:rPr>
              <w:t>БДТ</w:t>
            </w:r>
            <w:r>
              <w:rPr>
                <w:rFonts w:ascii="Times Roman" w:hAnsi="Times Roman"/>
                <w:rtl w:val="0"/>
              </w:rPr>
              <w:t>-7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Оранка з внесенням добрив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На глибину </w:t>
            </w:r>
            <w:r>
              <w:rPr>
                <w:rFonts w:ascii="Times Roman" w:hAnsi="Times Roman"/>
                <w:rtl w:val="0"/>
              </w:rPr>
              <w:t>25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27 </w:t>
            </w:r>
            <w:r>
              <w:rPr>
                <w:rFonts w:ascii="Times Roman" w:hAnsi="Times Roman" w:hint="default"/>
                <w:rtl w:val="0"/>
              </w:rPr>
              <w:t>см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з одночасним внесенням </w:t>
            </w:r>
            <w:r>
              <w:rPr>
                <w:rFonts w:ascii="Times Roman" w:hAnsi="Times Roman"/>
                <w:rtl w:val="0"/>
              </w:rPr>
              <w:t>P35 K60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Т</w:t>
            </w:r>
            <w:r>
              <w:rPr>
                <w:rFonts w:ascii="Times Roman" w:hAnsi="Times Roman"/>
                <w:rtl w:val="0"/>
              </w:rPr>
              <w:t xml:space="preserve">-150 + </w:t>
            </w:r>
            <w:r>
              <w:rPr>
                <w:rFonts w:ascii="Times Roman" w:hAnsi="Times Roman" w:hint="default"/>
                <w:rtl w:val="0"/>
              </w:rPr>
              <w:t>ПЛН</w:t>
            </w:r>
            <w:r>
              <w:rPr>
                <w:rFonts w:ascii="Times Roman" w:hAnsi="Times Roman"/>
                <w:rtl w:val="0"/>
              </w:rPr>
              <w:t>-5-35</w:t>
            </w:r>
          </w:p>
        </w:tc>
      </w:tr>
      <w:tr>
        <w:tblPrEx>
          <w:shd w:val="clear" w:color="auto" w:fill="auto"/>
        </w:tblPrEx>
        <w:trPr>
          <w:trHeight w:val="56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Ранньовесняне боронування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Закриття вологи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у </w:t>
            </w:r>
            <w:r>
              <w:rPr>
                <w:rFonts w:ascii="Times Roman" w:hAnsi="Times Roman"/>
                <w:rtl w:val="0"/>
              </w:rPr>
              <w:t xml:space="preserve">2 </w:t>
            </w:r>
            <w:r>
              <w:rPr>
                <w:rFonts w:ascii="Times Roman" w:hAnsi="Times Roman" w:hint="default"/>
                <w:rtl w:val="0"/>
              </w:rPr>
              <w:t>сліди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 xml:space="preserve">-82 + </w:t>
            </w:r>
            <w:r>
              <w:rPr>
                <w:rFonts w:ascii="Times Roman" w:hAnsi="Times Roman" w:hint="default"/>
                <w:rtl w:val="0"/>
              </w:rPr>
              <w:t>БЗСС</w:t>
            </w:r>
            <w:r>
              <w:rPr>
                <w:rFonts w:ascii="Times Roman" w:hAnsi="Times Roman"/>
                <w:rtl w:val="0"/>
              </w:rPr>
              <w:t>-1,0</w:t>
            </w:r>
          </w:p>
        </w:tc>
      </w:tr>
      <w:tr>
        <w:tblPrEx>
          <w:shd w:val="clear" w:color="auto" w:fill="auto"/>
        </w:tblPrEx>
        <w:trPr>
          <w:trHeight w:val="56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Культивація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Передпосівна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на </w:t>
            </w:r>
            <w:r>
              <w:rPr>
                <w:rFonts w:ascii="Times Roman" w:hAnsi="Times Roman"/>
                <w:rtl w:val="0"/>
              </w:rPr>
              <w:t>6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8 </w:t>
            </w:r>
            <w:r>
              <w:rPr>
                <w:rFonts w:ascii="Times Roman" w:hAnsi="Times Roman" w:hint="default"/>
                <w:rtl w:val="0"/>
              </w:rPr>
              <w:t>см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з внесенням </w:t>
            </w:r>
            <w:r>
              <w:rPr>
                <w:rFonts w:ascii="Times Roman" w:hAnsi="Times Roman"/>
                <w:rtl w:val="0"/>
              </w:rPr>
              <w:t>N30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 xml:space="preserve">-82 + </w:t>
            </w:r>
            <w:r>
              <w:rPr>
                <w:rFonts w:ascii="Times Roman" w:hAnsi="Times Roman" w:hint="default"/>
                <w:rtl w:val="0"/>
              </w:rPr>
              <w:t>КПС</w:t>
            </w:r>
            <w:r>
              <w:rPr>
                <w:rFonts w:ascii="Times Roman" w:hAnsi="Times Roman"/>
                <w:rtl w:val="0"/>
              </w:rPr>
              <w:t>-4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Протруювання насіння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Протруєння насіння перед сівбою згідно норми препарату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т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ПС</w:t>
            </w:r>
            <w:r>
              <w:rPr>
                <w:rFonts w:ascii="Times Roman" w:hAnsi="Times Roman"/>
                <w:rtl w:val="0"/>
              </w:rPr>
              <w:t>-10</w:t>
            </w:r>
          </w:p>
        </w:tc>
      </w:tr>
      <w:tr>
        <w:tblPrEx>
          <w:shd w:val="clear" w:color="auto" w:fill="auto"/>
        </w:tblPrEx>
        <w:trPr>
          <w:trHeight w:val="140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Сівба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У прогрітий до </w:t>
            </w:r>
            <w:r>
              <w:rPr>
                <w:rFonts w:ascii="Times Roman" w:hAnsi="Times Roman"/>
                <w:rtl w:val="0"/>
              </w:rPr>
              <w:t>8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>10</w:t>
            </w:r>
            <w:r>
              <w:rPr>
                <w:rFonts w:ascii="Times Roman" w:hAnsi="Times Roman" w:hint="default"/>
                <w:rtl w:val="0"/>
              </w:rPr>
              <w:t>°С ґрунт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ширина міжрядь </w:t>
            </w:r>
            <w:r>
              <w:rPr>
                <w:rFonts w:ascii="Times Roman" w:hAnsi="Times Roman"/>
                <w:rtl w:val="0"/>
              </w:rPr>
              <w:t xml:space="preserve">70 </w:t>
            </w:r>
            <w:r>
              <w:rPr>
                <w:rFonts w:ascii="Times Roman" w:hAnsi="Times Roman" w:hint="default"/>
                <w:rtl w:val="0"/>
              </w:rPr>
              <w:t>см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глибина загортання </w:t>
            </w:r>
            <w:r>
              <w:rPr>
                <w:rFonts w:ascii="Times Roman" w:hAnsi="Times Roman"/>
                <w:rtl w:val="0"/>
              </w:rPr>
              <w:t>6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8 </w:t>
            </w:r>
            <w:r>
              <w:rPr>
                <w:rFonts w:ascii="Times Roman" w:hAnsi="Times Roman" w:hint="default"/>
                <w:rtl w:val="0"/>
              </w:rPr>
              <w:t>см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 xml:space="preserve">-82 + </w:t>
            </w:r>
            <w:r>
              <w:rPr>
                <w:rFonts w:ascii="Times Roman" w:hAnsi="Times Roman" w:hint="default"/>
                <w:rtl w:val="0"/>
              </w:rPr>
              <w:t>СУПН</w:t>
            </w:r>
            <w:r>
              <w:rPr>
                <w:rFonts w:ascii="Times Roman" w:hAnsi="Times Roman"/>
                <w:rtl w:val="0"/>
              </w:rPr>
              <w:t>-8</w:t>
            </w:r>
          </w:p>
        </w:tc>
      </w:tr>
      <w:tr>
        <w:tblPrEx>
          <w:shd w:val="clear" w:color="auto" w:fill="auto"/>
        </w:tblPrEx>
        <w:trPr>
          <w:trHeight w:val="56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Коткування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Після сівби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за потреби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 xml:space="preserve">-82 + </w:t>
            </w:r>
            <w:r>
              <w:rPr>
                <w:rFonts w:ascii="Times Roman" w:hAnsi="Times Roman" w:hint="default"/>
                <w:rtl w:val="0"/>
              </w:rPr>
              <w:t>ЗККШ</w:t>
            </w:r>
            <w:r>
              <w:rPr>
                <w:rFonts w:ascii="Times Roman" w:hAnsi="Times Roman"/>
                <w:rtl w:val="0"/>
              </w:rPr>
              <w:t>-6</w:t>
            </w:r>
          </w:p>
        </w:tc>
      </w:tr>
      <w:tr>
        <w:tblPrEx>
          <w:shd w:val="clear" w:color="auto" w:fill="auto"/>
        </w:tblPrEx>
        <w:trPr>
          <w:trHeight w:val="112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Боронування до сходів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Через </w:t>
            </w:r>
            <w:r>
              <w:rPr>
                <w:rFonts w:ascii="Times Roman" w:hAnsi="Times Roman"/>
                <w:rtl w:val="0"/>
              </w:rPr>
              <w:t>4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5 </w:t>
            </w:r>
            <w:r>
              <w:rPr>
                <w:rFonts w:ascii="Times Roman" w:hAnsi="Times Roman" w:hint="default"/>
                <w:rtl w:val="0"/>
              </w:rPr>
              <w:t>днів після сівби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для знищення ниткоподібних бур’янів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 xml:space="preserve">-82 + </w:t>
            </w:r>
            <w:r>
              <w:rPr>
                <w:rFonts w:ascii="Times Roman" w:hAnsi="Times Roman" w:hint="default"/>
                <w:rtl w:val="0"/>
              </w:rPr>
              <w:t>легкі борони</w:t>
            </w:r>
          </w:p>
        </w:tc>
      </w:tr>
      <w:tr>
        <w:tblPrEx>
          <w:shd w:val="clear" w:color="auto" w:fill="auto"/>
        </w:tblPrEx>
        <w:trPr>
          <w:trHeight w:val="56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Міжрядний обробіток </w:t>
            </w:r>
            <w:r>
              <w:rPr>
                <w:rFonts w:ascii="Times Roman" w:hAnsi="Times Roman"/>
                <w:rtl w:val="0"/>
              </w:rPr>
              <w:t>1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У фазі </w:t>
            </w:r>
            <w:r>
              <w:rPr>
                <w:rFonts w:ascii="Times Roman" w:hAnsi="Times Roman"/>
                <w:rtl w:val="0"/>
              </w:rPr>
              <w:t>2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3 </w:t>
            </w:r>
            <w:r>
              <w:rPr>
                <w:rFonts w:ascii="Times Roman" w:hAnsi="Times Roman" w:hint="default"/>
                <w:rtl w:val="0"/>
              </w:rPr>
              <w:t>пар листків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на </w:t>
            </w:r>
            <w:r>
              <w:rPr>
                <w:rFonts w:ascii="Times Roman" w:hAnsi="Times Roman"/>
                <w:rtl w:val="0"/>
              </w:rPr>
              <w:t>6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8 </w:t>
            </w:r>
            <w:r>
              <w:rPr>
                <w:rFonts w:ascii="Times Roman" w:hAnsi="Times Roman" w:hint="default"/>
                <w:rtl w:val="0"/>
              </w:rPr>
              <w:t>см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 xml:space="preserve">-82 + </w:t>
            </w:r>
            <w:r>
              <w:rPr>
                <w:rFonts w:ascii="Times Roman" w:hAnsi="Times Roman" w:hint="default"/>
                <w:rtl w:val="0"/>
              </w:rPr>
              <w:t>КРН</w:t>
            </w:r>
            <w:r>
              <w:rPr>
                <w:rFonts w:ascii="Times Roman" w:hAnsi="Times Roman"/>
                <w:rtl w:val="0"/>
              </w:rPr>
              <w:t>-5,6</w:t>
            </w:r>
          </w:p>
        </w:tc>
      </w:tr>
      <w:tr>
        <w:tblPrEx>
          <w:shd w:val="clear" w:color="auto" w:fill="auto"/>
        </w:tblPrEx>
        <w:trPr>
          <w:trHeight w:val="56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Міжрядний обробіток </w:t>
            </w:r>
            <w:r>
              <w:rPr>
                <w:rFonts w:ascii="Times Roman" w:hAnsi="Times Roman"/>
                <w:rtl w:val="0"/>
              </w:rPr>
              <w:t>2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Через </w:t>
            </w:r>
            <w:r>
              <w:rPr>
                <w:rFonts w:ascii="Times Roman" w:hAnsi="Times Roman"/>
                <w:rtl w:val="0"/>
              </w:rPr>
              <w:t>10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12 </w:t>
            </w:r>
            <w:r>
              <w:rPr>
                <w:rFonts w:ascii="Times Roman" w:hAnsi="Times Roman" w:hint="default"/>
                <w:rtl w:val="0"/>
              </w:rPr>
              <w:t>днів після першого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 xml:space="preserve">на </w:t>
            </w:r>
            <w:r>
              <w:rPr>
                <w:rFonts w:ascii="Times Roman" w:hAnsi="Times Roman"/>
                <w:rtl w:val="0"/>
              </w:rPr>
              <w:t>8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 xml:space="preserve">10 </w:t>
            </w:r>
            <w:r>
              <w:rPr>
                <w:rFonts w:ascii="Times Roman" w:hAnsi="Times Roman" w:hint="default"/>
                <w:rtl w:val="0"/>
              </w:rPr>
              <w:t>см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 xml:space="preserve">-82 + </w:t>
            </w:r>
            <w:r>
              <w:rPr>
                <w:rFonts w:ascii="Times Roman" w:hAnsi="Times Roman" w:hint="default"/>
                <w:rtl w:val="0"/>
              </w:rPr>
              <w:t>КРН</w:t>
            </w:r>
            <w:r>
              <w:rPr>
                <w:rFonts w:ascii="Times Roman" w:hAnsi="Times Roman"/>
                <w:rtl w:val="0"/>
              </w:rPr>
              <w:t>-5,6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Ручні сортові прочистки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Видалення нетипових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хворих рослин та домішок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Ручна праця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Захист від шкідників і хвороб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За потреби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згідно фітосанітарного стану посіву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ОП</w:t>
            </w:r>
            <w:r>
              <w:rPr>
                <w:rFonts w:ascii="Times Roman" w:hAnsi="Times Roman"/>
                <w:rtl w:val="0"/>
              </w:rPr>
              <w:t xml:space="preserve">-2000, </w:t>
            </w: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>-82</w:t>
            </w:r>
          </w:p>
        </w:tc>
      </w:tr>
      <w:tr>
        <w:tblPrEx>
          <w:shd w:val="clear" w:color="auto" w:fill="auto"/>
        </w:tblPrEx>
        <w:trPr>
          <w:trHeight w:val="112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Десикація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За потреби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перед збиранням для вирівнювання достигання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ОП</w:t>
            </w:r>
            <w:r>
              <w:rPr>
                <w:rFonts w:ascii="Times Roman" w:hAnsi="Times Roman"/>
                <w:rtl w:val="0"/>
              </w:rPr>
              <w:t xml:space="preserve">-2000, </w:t>
            </w:r>
            <w:r>
              <w:rPr>
                <w:rFonts w:ascii="Times Roman" w:hAnsi="Times Roman" w:hint="default"/>
                <w:rtl w:val="0"/>
              </w:rPr>
              <w:t>МТЗ</w:t>
            </w:r>
            <w:r>
              <w:rPr>
                <w:rFonts w:ascii="Times Roman" w:hAnsi="Times Roman"/>
                <w:rtl w:val="0"/>
              </w:rPr>
              <w:t>-82</w:t>
            </w:r>
          </w:p>
        </w:tc>
      </w:tr>
      <w:tr>
        <w:tblPrEx>
          <w:shd w:val="clear" w:color="auto" w:fill="auto"/>
        </w:tblPrEx>
        <w:trPr>
          <w:trHeight w:val="56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Збирання врожаю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При вологості насіння </w:t>
            </w:r>
            <w:r>
              <w:rPr>
                <w:rFonts w:ascii="Times Roman" w:hAnsi="Times Roman"/>
                <w:rtl w:val="0"/>
              </w:rPr>
              <w:t>12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>14%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га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ДОН</w:t>
            </w:r>
            <w:r>
              <w:rPr>
                <w:rFonts w:ascii="Times Roman" w:hAnsi="Times Roman"/>
                <w:rtl w:val="0"/>
              </w:rPr>
              <w:t>-1500</w:t>
            </w:r>
            <w:r>
              <w:rPr>
                <w:rFonts w:ascii="Times Roman" w:hAnsi="Times Roman" w:hint="default"/>
                <w:rtl w:val="0"/>
              </w:rPr>
              <w:t xml:space="preserve">Б або </w:t>
            </w:r>
            <w:r>
              <w:rPr>
                <w:rFonts w:ascii="Times Roman" w:hAnsi="Times Roman"/>
                <w:rtl w:val="0"/>
              </w:rPr>
              <w:t>Claas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Очищення і сушіння насіння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 xml:space="preserve">Доведення насіння до кондиційної вологості </w:t>
            </w:r>
            <w:r>
              <w:rPr>
                <w:rFonts w:ascii="Times Roman" w:hAnsi="Times Roman"/>
                <w:rtl w:val="0"/>
              </w:rPr>
              <w:t>7</w:t>
            </w:r>
            <w:r>
              <w:rPr>
                <w:rFonts w:ascii="Times Roman" w:hAnsi="Times Roman" w:hint="default"/>
                <w:rtl w:val="0"/>
              </w:rPr>
              <w:t>–</w:t>
            </w:r>
            <w:r>
              <w:rPr>
                <w:rFonts w:ascii="Times Roman" w:hAnsi="Times Roman"/>
                <w:rtl w:val="0"/>
              </w:rPr>
              <w:t>8%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т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ЗАВ</w:t>
            </w:r>
            <w:r>
              <w:rPr>
                <w:rFonts w:ascii="Times Roman" w:hAnsi="Times Roman"/>
                <w:rtl w:val="0"/>
              </w:rPr>
              <w:t xml:space="preserve">, </w:t>
            </w:r>
            <w:r>
              <w:rPr>
                <w:rFonts w:ascii="Times Roman" w:hAnsi="Times Roman" w:hint="default"/>
                <w:rtl w:val="0"/>
              </w:rPr>
              <w:t>ОВС</w:t>
            </w:r>
            <w:r>
              <w:rPr>
                <w:rFonts w:ascii="Times Roman" w:hAnsi="Times Roman"/>
                <w:rtl w:val="0"/>
              </w:rPr>
              <w:t xml:space="preserve">-25, </w:t>
            </w:r>
            <w:r>
              <w:rPr>
                <w:rFonts w:ascii="Times Roman" w:hAnsi="Times Roman" w:hint="default"/>
                <w:rtl w:val="0"/>
              </w:rPr>
              <w:t>сушарка</w:t>
            </w:r>
          </w:p>
        </w:tc>
      </w:tr>
      <w:tr>
        <w:tblPrEx>
          <w:shd w:val="clear" w:color="auto" w:fill="auto"/>
        </w:tblPrEx>
        <w:trPr>
          <w:trHeight w:val="56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Сортування насіння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Виділення якісної фракції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т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ОВС</w:t>
            </w:r>
            <w:r>
              <w:rPr>
                <w:rFonts w:ascii="Times Roman" w:hAnsi="Times Roman"/>
                <w:rtl w:val="0"/>
              </w:rPr>
              <w:t>-25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Закладання на зберігання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У сухому вентильованому приміщенні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Стиль таблиці 2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1"/>
              <w:jc w:val="left"/>
            </w:pPr>
            <w:r>
              <w:rPr>
                <w:rFonts w:ascii="Helvetica" w:hAnsi="Helvetica" w:hint="default"/>
                <w:sz w:val="24"/>
                <w:szCs w:val="24"/>
                <w:rtl w:val="0"/>
              </w:rPr>
              <w:t>т</w:t>
            </w:r>
          </w:p>
        </w:tc>
        <w:tc>
          <w:tcPr>
            <w:tcW w:type="dxa" w:w="240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Типовий"/>
              <w:suppressAutoHyphens w:val="1"/>
              <w:spacing w:before="0" w:line="240" w:lineRule="auto"/>
            </w:pPr>
            <w:r>
              <w:rPr>
                <w:rFonts w:ascii="Times Roman" w:hAnsi="Times Roman" w:hint="default"/>
                <w:rtl w:val="0"/>
              </w:rPr>
              <w:t>Складське обладнання</w:t>
            </w:r>
          </w:p>
        </w:tc>
      </w:tr>
    </w:tbl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4"/>
          <w:szCs w:val="24"/>
        </w:rPr>
      </w:pP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Helvetica" w:cs="Helvetica" w:hAnsi="Helvetica" w:eastAsia="Helvetica"/>
          <w:sz w:val="24"/>
          <w:szCs w:val="24"/>
        </w:rPr>
      </w:pPr>
    </w:p>
    <w:p>
      <w:pPr>
        <w:pStyle w:val="Типовий"/>
        <w:suppressAutoHyphens w:val="1"/>
        <w:spacing w:before="0" w:line="240" w:lineRule="auto"/>
        <w:rPr>
          <w:rFonts w:ascii="Helvetica" w:cs="Helvetica" w:hAnsi="Helvetica" w:eastAsia="Helvetica"/>
          <w:b w:val="1"/>
          <w:bCs w:val="1"/>
          <w:sz w:val="24"/>
          <w:szCs w:val="24"/>
        </w:rPr>
      </w:pP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Helvetica" w:cs="Helvetica" w:hAnsi="Helvetica" w:eastAsia="Helvetica"/>
        </w:rPr>
      </w:pP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Контрольні питання для перевірки засвоєння матеріалу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.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Перевірка агротехнічної частини технологічної карти конкретного</w:t>
      </w:r>
    </w:p>
    <w:p>
      <w:pPr>
        <w:pStyle w:val="Типовий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</w:pPr>
      <w:r>
        <w:rPr>
          <w:rFonts w:ascii="Times New Roman" w:hAnsi="Times New Roman" w:hint="default"/>
          <w:sz w:val="28"/>
          <w:szCs w:val="28"/>
          <w:rtl w:val="0"/>
        </w:rPr>
        <w:t>господарства Півдня України</w:t>
      </w:r>
      <w:r>
        <w:rPr>
          <w:rFonts w:ascii="Times New Roman" w:cs="Times New Roman" w:hAnsi="Times New Roman" w:eastAsia="Times New Roman"/>
          <w:sz w:val="28"/>
          <w:szCs w:val="28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Стиль таблиці 2">
    <w:name w:val="Стиль таблиці 2"/>
    <w:next w:val="Стиль таблиці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