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8F9B2" w14:textId="27B24C98" w:rsidR="00F77C8D" w:rsidRDefault="00F77C8D" w:rsidP="00F77C8D">
      <w:pPr>
        <w:pStyle w:val="a9"/>
        <w:shd w:val="clear" w:color="auto" w:fill="FFFFFF"/>
        <w:spacing w:after="0" w:line="240" w:lineRule="auto"/>
        <w:ind w:left="1440"/>
        <w:jc w:val="center"/>
        <w:rPr>
          <w:rFonts w:ascii="Times New Roman" w:hAnsi="Times New Roman"/>
          <w:b/>
          <w:sz w:val="28"/>
          <w:szCs w:val="28"/>
        </w:rPr>
      </w:pPr>
      <w:r w:rsidRPr="00983EBB">
        <w:rPr>
          <w:rFonts w:ascii="Times New Roman" w:hAnsi="Times New Roman"/>
          <w:b/>
          <w:sz w:val="28"/>
          <w:szCs w:val="28"/>
        </w:rPr>
        <w:t xml:space="preserve">Продовження теми 3. Облік дебіторської заборгованості (питання </w:t>
      </w:r>
      <w:r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Pr="00983EBB">
        <w:rPr>
          <w:rFonts w:ascii="Times New Roman" w:hAnsi="Times New Roman"/>
          <w:b/>
          <w:sz w:val="28"/>
          <w:szCs w:val="28"/>
        </w:rPr>
        <w:t>)</w:t>
      </w:r>
    </w:p>
    <w:p w14:paraId="68A1355C" w14:textId="77777777" w:rsidR="00F77C8D" w:rsidRDefault="00F77C8D" w:rsidP="00F77C8D">
      <w:pPr>
        <w:spacing w:after="0" w:line="240" w:lineRule="auto"/>
        <w:ind w:left="1440" w:hanging="360"/>
        <w:jc w:val="center"/>
      </w:pPr>
    </w:p>
    <w:p w14:paraId="5B6C1C93" w14:textId="39DAC79F" w:rsidR="00F77C8D" w:rsidRPr="00F77C8D" w:rsidRDefault="00F77C8D" w:rsidP="00F77C8D">
      <w:pPr>
        <w:pStyle w:val="a9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77C8D">
        <w:rPr>
          <w:rFonts w:ascii="Times New Roman" w:hAnsi="Times New Roman"/>
          <w:b/>
          <w:bCs/>
          <w:sz w:val="28"/>
          <w:szCs w:val="28"/>
        </w:rPr>
        <w:t>Облік короткострокових і довгострокових векселів одержаних</w:t>
      </w:r>
    </w:p>
    <w:p w14:paraId="5D911CC0" w14:textId="77777777" w:rsidR="00F77C8D" w:rsidRPr="004D6899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Вексель</w:t>
      </w:r>
      <w:r w:rsidRPr="004D6899">
        <w:rPr>
          <w:rFonts w:ascii="Times New Roman" w:hAnsi="Times New Roman"/>
          <w:sz w:val="28"/>
          <w:szCs w:val="28"/>
        </w:rPr>
        <w:t xml:space="preserve"> – це цінний папір, який засвідчує безумовне грошове зобов’язання векселедавця сплатити після настання терміну певну суму грошей власнику векселя (векселетримачу).</w:t>
      </w:r>
    </w:p>
    <w:p w14:paraId="2308DA6D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При складанні договору (купівлі</w:t>
      </w:r>
      <w:r>
        <w:rPr>
          <w:rFonts w:ascii="Times New Roman" w:hAnsi="Times New Roman"/>
          <w:sz w:val="28"/>
          <w:szCs w:val="28"/>
        </w:rPr>
        <w:t>-</w:t>
      </w:r>
      <w:r w:rsidRPr="004D6899">
        <w:rPr>
          <w:rFonts w:ascii="Times New Roman" w:hAnsi="Times New Roman"/>
          <w:sz w:val="28"/>
          <w:szCs w:val="28"/>
        </w:rPr>
        <w:t xml:space="preserve">продажу, поставки товарів тощо) на умовах вексельних розрахунків і обліку векселів слід застосовувати </w:t>
      </w:r>
      <w:r>
        <w:rPr>
          <w:rFonts w:ascii="Times New Roman" w:hAnsi="Times New Roman"/>
          <w:sz w:val="28"/>
          <w:szCs w:val="28"/>
        </w:rPr>
        <w:t xml:space="preserve">такі </w:t>
      </w:r>
      <w:r w:rsidRPr="004D6899">
        <w:rPr>
          <w:rFonts w:ascii="Times New Roman" w:hAnsi="Times New Roman"/>
          <w:sz w:val="28"/>
          <w:szCs w:val="28"/>
        </w:rPr>
        <w:t xml:space="preserve">терміни: </w:t>
      </w:r>
    </w:p>
    <w:p w14:paraId="25B057EC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Векселедавець</w:t>
      </w:r>
      <w:r w:rsidRPr="004D6899">
        <w:rPr>
          <w:rFonts w:ascii="Times New Roman" w:hAnsi="Times New Roman"/>
          <w:sz w:val="28"/>
          <w:szCs w:val="28"/>
        </w:rPr>
        <w:t xml:space="preserve"> – боржник при складанні простого векселя; той, хто видав переказний вексель і наказав заплатити. </w:t>
      </w:r>
    </w:p>
    <w:p w14:paraId="7929C7C8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Векселетримач</w:t>
      </w:r>
      <w:r w:rsidRPr="004D6899">
        <w:rPr>
          <w:rFonts w:ascii="Times New Roman" w:hAnsi="Times New Roman"/>
          <w:sz w:val="28"/>
          <w:szCs w:val="28"/>
        </w:rPr>
        <w:t xml:space="preserve"> – кредитор при складанні простого векселя або той, на користь кого виданий переказний вексель</w:t>
      </w:r>
      <w:r>
        <w:rPr>
          <w:rFonts w:ascii="Times New Roman" w:hAnsi="Times New Roman"/>
          <w:sz w:val="28"/>
          <w:szCs w:val="28"/>
        </w:rPr>
        <w:t>.</w:t>
      </w:r>
    </w:p>
    <w:p w14:paraId="52E235B2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 </w:t>
      </w:r>
      <w:r w:rsidRPr="00A57FC4">
        <w:rPr>
          <w:rFonts w:ascii="Times New Roman" w:hAnsi="Times New Roman"/>
          <w:b/>
          <w:bCs/>
          <w:sz w:val="28"/>
          <w:szCs w:val="28"/>
        </w:rPr>
        <w:t>Простий вексель</w:t>
      </w:r>
      <w:r w:rsidRPr="004D6899">
        <w:rPr>
          <w:rFonts w:ascii="Times New Roman" w:hAnsi="Times New Roman"/>
          <w:sz w:val="28"/>
          <w:szCs w:val="28"/>
        </w:rPr>
        <w:t xml:space="preserve"> – виписується позичальником (векселедавцем) і містить нічим не обумовлене зобов’язання сплатити певну суму грошей кредиторові (векселетримачу). </w:t>
      </w:r>
    </w:p>
    <w:p w14:paraId="4B32D930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Переказний вексель (трата)</w:t>
      </w:r>
      <w:r w:rsidRPr="004D6899">
        <w:rPr>
          <w:rFonts w:ascii="Times New Roman" w:hAnsi="Times New Roman"/>
          <w:sz w:val="28"/>
          <w:szCs w:val="28"/>
        </w:rPr>
        <w:t xml:space="preserve"> – виписується кредитором (векселедавцем) і містить нічим не обумовлену пропозицію до позичальника сплатити певну суму грошей третій особі</w:t>
      </w:r>
      <w:r>
        <w:rPr>
          <w:rFonts w:ascii="Times New Roman" w:hAnsi="Times New Roman"/>
          <w:sz w:val="28"/>
          <w:szCs w:val="28"/>
        </w:rPr>
        <w:t>.</w:t>
      </w:r>
    </w:p>
    <w:p w14:paraId="78C2D303" w14:textId="77777777" w:rsidR="00F77C8D" w:rsidRDefault="00F77C8D" w:rsidP="00F77C8D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D6899">
        <w:rPr>
          <w:rFonts w:ascii="Times New Roman" w:hAnsi="Times New Roman"/>
          <w:sz w:val="28"/>
          <w:szCs w:val="28"/>
        </w:rPr>
        <w:t xml:space="preserve"> </w:t>
      </w:r>
      <w:r w:rsidRPr="00A57FC4">
        <w:rPr>
          <w:rFonts w:ascii="Times New Roman" w:hAnsi="Times New Roman"/>
          <w:b/>
          <w:bCs/>
          <w:sz w:val="28"/>
          <w:szCs w:val="28"/>
        </w:rPr>
        <w:t>Аваль</w:t>
      </w:r>
      <w:r w:rsidRPr="004D6899">
        <w:rPr>
          <w:rFonts w:ascii="Times New Roman" w:hAnsi="Times New Roman"/>
          <w:sz w:val="28"/>
          <w:szCs w:val="28"/>
        </w:rPr>
        <w:t xml:space="preserve"> – вексельне поручительство. Найчастіше авалістом, який гарантує оплату векселя, виступає банк. Аваліст бере на себе зобов‘язання сплатити вексель у разі його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оплати в установлений термін. </w:t>
      </w:r>
    </w:p>
    <w:p w14:paraId="65260C5B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Акцепт</w:t>
      </w:r>
      <w:r w:rsidRPr="004D6899">
        <w:rPr>
          <w:rFonts w:ascii="Times New Roman" w:hAnsi="Times New Roman"/>
          <w:sz w:val="28"/>
          <w:szCs w:val="28"/>
        </w:rPr>
        <w:t xml:space="preserve"> – згода платника на оплату переказного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векселя. </w:t>
      </w:r>
    </w:p>
    <w:p w14:paraId="7FB4D90B" w14:textId="77777777" w:rsidR="00F77C8D" w:rsidRPr="004D6899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57FC4">
        <w:rPr>
          <w:rFonts w:ascii="Times New Roman" w:hAnsi="Times New Roman"/>
          <w:b/>
          <w:bCs/>
          <w:sz w:val="28"/>
          <w:szCs w:val="28"/>
        </w:rPr>
        <w:t>Аленж</w:t>
      </w:r>
      <w:proofErr w:type="spellEnd"/>
      <w:r w:rsidRPr="00A57FC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– додатковий лист до векселя для передавальних надписів.</w:t>
      </w:r>
    </w:p>
    <w:p w14:paraId="57F780F7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Інкасування (інкасо)</w:t>
      </w:r>
      <w:r w:rsidRPr="004D6899">
        <w:rPr>
          <w:rFonts w:ascii="Times New Roman" w:hAnsi="Times New Roman"/>
          <w:sz w:val="28"/>
          <w:szCs w:val="28"/>
        </w:rPr>
        <w:t xml:space="preserve"> – прийняття векселя банком від векселетримача для пред’явлення його у термін боржникові і отримання належних платежів. Якщо платіж не надійде – вексель повертається векселетримачу, але з опротестуванням </w:t>
      </w:r>
      <w:proofErr w:type="spellStart"/>
      <w:r w:rsidRPr="004D6899">
        <w:rPr>
          <w:rFonts w:ascii="Times New Roman" w:hAnsi="Times New Roman"/>
          <w:sz w:val="28"/>
          <w:szCs w:val="28"/>
        </w:rPr>
        <w:t>неплатежу</w:t>
      </w:r>
      <w:proofErr w:type="spellEnd"/>
      <w:r w:rsidRPr="004D6899">
        <w:rPr>
          <w:rFonts w:ascii="Times New Roman" w:hAnsi="Times New Roman"/>
          <w:sz w:val="28"/>
          <w:szCs w:val="28"/>
        </w:rPr>
        <w:t>. Банк несе відповідальність за наслідки, які виникли, якщо платіж неопротестований. У разі ненадходження платежу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здійснення протесту, затрати, пов‘язані з протестом, комісія та інші платежі оплачуються клієнтом. </w:t>
      </w:r>
    </w:p>
    <w:p w14:paraId="4D1B7B3E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Індосамент</w:t>
      </w:r>
      <w:r w:rsidRPr="004D6899">
        <w:rPr>
          <w:rFonts w:ascii="Times New Roman" w:hAnsi="Times New Roman"/>
          <w:sz w:val="28"/>
          <w:szCs w:val="28"/>
        </w:rPr>
        <w:t xml:space="preserve"> – передавальний надпис на векселі. Індосамент може бути здійснений навіть на користь платника, незалежно від того, акцептував він вексель чи ні, або на користь векселедавця, або на користь будь-якої зобов‘язаної за векселем особи. Ці особи, у свою чергу, можуть </w:t>
      </w:r>
      <w:proofErr w:type="spellStart"/>
      <w:r w:rsidRPr="004D6899">
        <w:rPr>
          <w:rFonts w:ascii="Times New Roman" w:hAnsi="Times New Roman"/>
          <w:sz w:val="28"/>
          <w:szCs w:val="28"/>
        </w:rPr>
        <w:t>індосувати</w:t>
      </w:r>
      <w:proofErr w:type="spellEnd"/>
      <w:r w:rsidRPr="004D6899">
        <w:rPr>
          <w:rFonts w:ascii="Times New Roman" w:hAnsi="Times New Roman"/>
          <w:sz w:val="28"/>
          <w:szCs w:val="28"/>
        </w:rPr>
        <w:t xml:space="preserve"> вексель. Індосамент повинен бути простим і нічим не обумовленим. Частковий індосамент недійсний. </w:t>
      </w:r>
    </w:p>
    <w:p w14:paraId="3253C880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Трасат</w:t>
      </w:r>
      <w:r w:rsidRPr="004D6899">
        <w:rPr>
          <w:rFonts w:ascii="Times New Roman" w:hAnsi="Times New Roman"/>
          <w:sz w:val="28"/>
          <w:szCs w:val="28"/>
        </w:rPr>
        <w:t xml:space="preserve"> – платник, який приймає переказний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вексель. </w:t>
      </w:r>
    </w:p>
    <w:p w14:paraId="533F9B35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t>Трасант</w:t>
      </w:r>
      <w:r w:rsidRPr="004D6899">
        <w:rPr>
          <w:rFonts w:ascii="Times New Roman" w:hAnsi="Times New Roman"/>
          <w:sz w:val="28"/>
          <w:szCs w:val="28"/>
        </w:rPr>
        <w:t xml:space="preserve"> – векселедавець переказного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векселя. </w:t>
      </w:r>
    </w:p>
    <w:p w14:paraId="4A322FBF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57FC4">
        <w:rPr>
          <w:rFonts w:ascii="Times New Roman" w:hAnsi="Times New Roman"/>
          <w:b/>
          <w:bCs/>
          <w:sz w:val="28"/>
          <w:szCs w:val="28"/>
        </w:rPr>
        <w:t>Трасантування</w:t>
      </w:r>
      <w:proofErr w:type="spellEnd"/>
      <w:r w:rsidRPr="004D6899">
        <w:rPr>
          <w:rFonts w:ascii="Times New Roman" w:hAnsi="Times New Roman"/>
          <w:sz w:val="28"/>
          <w:szCs w:val="28"/>
        </w:rPr>
        <w:t xml:space="preserve"> – видача переказного векселя, тобто прийняття на себе зобов‘язань гарантії акцепту і платежу. </w:t>
      </w:r>
    </w:p>
    <w:p w14:paraId="025E9705" w14:textId="77777777" w:rsidR="00F77C8D" w:rsidRPr="004D6899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57FC4">
        <w:rPr>
          <w:rFonts w:ascii="Times New Roman" w:hAnsi="Times New Roman"/>
          <w:b/>
          <w:bCs/>
          <w:sz w:val="28"/>
          <w:szCs w:val="28"/>
        </w:rPr>
        <w:lastRenderedPageBreak/>
        <w:t>Трата</w:t>
      </w:r>
      <w:r w:rsidRPr="004D6899">
        <w:rPr>
          <w:rFonts w:ascii="Times New Roman" w:hAnsi="Times New Roman"/>
          <w:sz w:val="28"/>
          <w:szCs w:val="28"/>
        </w:rPr>
        <w:t xml:space="preserve"> – так називається переказний вексель стосовно трасата.</w:t>
      </w:r>
    </w:p>
    <w:p w14:paraId="01D44C20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Простий вексель видається дебітором (покупцем) кредиторові (продавцеві) при оформленні розрахунків щодо передачі права власності на товари, роботи, послуги. </w:t>
      </w:r>
    </w:p>
    <w:p w14:paraId="487908AC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Простий вексель повинен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мати</w:t>
      </w:r>
      <w:r>
        <w:rPr>
          <w:rFonts w:ascii="Times New Roman" w:hAnsi="Times New Roman"/>
          <w:sz w:val="28"/>
          <w:szCs w:val="28"/>
        </w:rPr>
        <w:t>:</w:t>
      </w:r>
    </w:p>
    <w:p w14:paraId="664E7CED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Segoe UI Symbol" w:hAnsi="Segoe UI Symbol" w:cs="Segoe UI Symbol"/>
          <w:sz w:val="28"/>
          <w:szCs w:val="28"/>
        </w:rPr>
        <w:t>➢</w:t>
      </w:r>
      <w:r w:rsidRPr="004D6899">
        <w:rPr>
          <w:rFonts w:ascii="Times New Roman" w:hAnsi="Times New Roman"/>
          <w:sz w:val="28"/>
          <w:szCs w:val="28"/>
        </w:rPr>
        <w:t xml:space="preserve"> просте і нічим не обумовлене зобов‘язання сплатити певну суму грошей кредиторові (векселетримачу); </w:t>
      </w:r>
    </w:p>
    <w:p w14:paraId="6C1B8F79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Segoe UI Symbol" w:hAnsi="Segoe UI Symbol" w:cs="Segoe UI Symbol"/>
          <w:sz w:val="28"/>
          <w:szCs w:val="28"/>
        </w:rPr>
        <w:t>➢</w:t>
      </w:r>
      <w:r w:rsidRPr="004D6899">
        <w:rPr>
          <w:rFonts w:ascii="Times New Roman" w:hAnsi="Times New Roman"/>
          <w:sz w:val="28"/>
          <w:szCs w:val="28"/>
        </w:rPr>
        <w:t xml:space="preserve"> термін платежу; </w:t>
      </w:r>
    </w:p>
    <w:p w14:paraId="785C0D10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Segoe UI Symbol" w:hAnsi="Segoe UI Symbol" w:cs="Segoe UI Symbol"/>
          <w:sz w:val="28"/>
          <w:szCs w:val="28"/>
        </w:rPr>
        <w:t>➢</w:t>
      </w:r>
      <w:r w:rsidRPr="004D6899">
        <w:rPr>
          <w:rFonts w:ascii="Times New Roman" w:hAnsi="Times New Roman"/>
          <w:sz w:val="28"/>
          <w:szCs w:val="28"/>
        </w:rPr>
        <w:t xml:space="preserve"> місце, де повинен бути здійснений платіж; </w:t>
      </w:r>
    </w:p>
    <w:p w14:paraId="7E6E259B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Segoe UI Symbol" w:hAnsi="Segoe UI Symbol" w:cs="Segoe UI Symbol"/>
          <w:sz w:val="28"/>
          <w:szCs w:val="28"/>
        </w:rPr>
        <w:t>➢</w:t>
      </w:r>
      <w:r w:rsidRPr="004D6899">
        <w:rPr>
          <w:rFonts w:ascii="Times New Roman" w:hAnsi="Times New Roman"/>
          <w:sz w:val="28"/>
          <w:szCs w:val="28"/>
        </w:rPr>
        <w:t xml:space="preserve"> кому і за наказом кого повинен бути здійснений платіж; </w:t>
      </w:r>
    </w:p>
    <w:p w14:paraId="62A5A2D1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Segoe UI Symbol" w:hAnsi="Segoe UI Symbol" w:cs="Segoe UI Symbol"/>
          <w:sz w:val="28"/>
          <w:szCs w:val="28"/>
        </w:rPr>
        <w:t>➢</w:t>
      </w:r>
      <w:r w:rsidRPr="004D6899">
        <w:rPr>
          <w:rFonts w:ascii="Times New Roman" w:hAnsi="Times New Roman"/>
          <w:sz w:val="28"/>
          <w:szCs w:val="28"/>
        </w:rPr>
        <w:t xml:space="preserve"> дата і місце складання векселя; </w:t>
      </w:r>
    </w:p>
    <w:p w14:paraId="07642158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Segoe UI Symbol" w:hAnsi="Segoe UI Symbol" w:cs="Segoe UI Symbol"/>
          <w:sz w:val="28"/>
          <w:szCs w:val="28"/>
        </w:rPr>
        <w:t>➢</w:t>
      </w:r>
      <w:r w:rsidRPr="004D6899">
        <w:rPr>
          <w:rFonts w:ascii="Times New Roman" w:hAnsi="Times New Roman"/>
          <w:sz w:val="28"/>
          <w:szCs w:val="28"/>
        </w:rPr>
        <w:t xml:space="preserve"> підпис векселедавця. </w:t>
      </w:r>
    </w:p>
    <w:p w14:paraId="275FD249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D6899">
        <w:rPr>
          <w:rFonts w:ascii="Times New Roman" w:hAnsi="Times New Roman"/>
          <w:sz w:val="28"/>
          <w:szCs w:val="28"/>
        </w:rPr>
        <w:t xml:space="preserve">ослідовність виконання операцій із застосуванням простих векселів: </w:t>
      </w:r>
    </w:p>
    <w:p w14:paraId="2212FF88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1. Відпущ</w:t>
      </w:r>
      <w:r>
        <w:rPr>
          <w:rFonts w:ascii="Times New Roman" w:hAnsi="Times New Roman"/>
          <w:sz w:val="28"/>
          <w:szCs w:val="28"/>
        </w:rPr>
        <w:t>ення</w:t>
      </w:r>
      <w:r w:rsidRPr="004D6899">
        <w:rPr>
          <w:rFonts w:ascii="Times New Roman" w:hAnsi="Times New Roman"/>
          <w:sz w:val="28"/>
          <w:szCs w:val="28"/>
        </w:rPr>
        <w:t xml:space="preserve"> продукці</w:t>
      </w:r>
      <w:r>
        <w:rPr>
          <w:rFonts w:ascii="Times New Roman" w:hAnsi="Times New Roman"/>
          <w:sz w:val="28"/>
          <w:szCs w:val="28"/>
        </w:rPr>
        <w:t>ї.</w:t>
      </w:r>
      <w:r w:rsidRPr="004D6899">
        <w:rPr>
          <w:rFonts w:ascii="Times New Roman" w:hAnsi="Times New Roman"/>
          <w:sz w:val="28"/>
          <w:szCs w:val="28"/>
        </w:rPr>
        <w:t xml:space="preserve"> </w:t>
      </w:r>
    </w:p>
    <w:p w14:paraId="4DE1C30C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2. Вида</w:t>
      </w:r>
      <w:r>
        <w:rPr>
          <w:rFonts w:ascii="Times New Roman" w:hAnsi="Times New Roman"/>
          <w:sz w:val="28"/>
          <w:szCs w:val="28"/>
        </w:rPr>
        <w:t>ча</w:t>
      </w:r>
      <w:r w:rsidRPr="004D6899">
        <w:rPr>
          <w:rFonts w:ascii="Times New Roman" w:hAnsi="Times New Roman"/>
          <w:sz w:val="28"/>
          <w:szCs w:val="28"/>
        </w:rPr>
        <w:t xml:space="preserve"> вексел</w:t>
      </w:r>
      <w:r>
        <w:rPr>
          <w:rFonts w:ascii="Times New Roman" w:hAnsi="Times New Roman"/>
          <w:sz w:val="28"/>
          <w:szCs w:val="28"/>
        </w:rPr>
        <w:t>я.</w:t>
      </w:r>
      <w:r w:rsidRPr="004D6899">
        <w:rPr>
          <w:rFonts w:ascii="Times New Roman" w:hAnsi="Times New Roman"/>
          <w:sz w:val="28"/>
          <w:szCs w:val="28"/>
        </w:rPr>
        <w:t xml:space="preserve"> </w:t>
      </w:r>
    </w:p>
    <w:p w14:paraId="69047780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П</w:t>
      </w:r>
      <w:r w:rsidRPr="004D6899">
        <w:rPr>
          <w:rFonts w:ascii="Times New Roman" w:hAnsi="Times New Roman"/>
          <w:sz w:val="28"/>
          <w:szCs w:val="28"/>
        </w:rPr>
        <w:t>ред’явлен</w:t>
      </w:r>
      <w:r>
        <w:rPr>
          <w:rFonts w:ascii="Times New Roman" w:hAnsi="Times New Roman"/>
          <w:sz w:val="28"/>
          <w:szCs w:val="28"/>
        </w:rPr>
        <w:t>ня</w:t>
      </w:r>
      <w:r w:rsidRPr="004D68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векселя </w:t>
      </w:r>
      <w:r w:rsidRPr="004D6899">
        <w:rPr>
          <w:rFonts w:ascii="Times New Roman" w:hAnsi="Times New Roman"/>
          <w:sz w:val="28"/>
          <w:szCs w:val="28"/>
        </w:rPr>
        <w:t>до оплати</w:t>
      </w:r>
      <w:r>
        <w:rPr>
          <w:rFonts w:ascii="Times New Roman" w:hAnsi="Times New Roman"/>
          <w:sz w:val="28"/>
          <w:szCs w:val="28"/>
        </w:rPr>
        <w:t>.</w:t>
      </w:r>
    </w:p>
    <w:p w14:paraId="6B696907" w14:textId="77777777" w:rsidR="00F77C8D" w:rsidRPr="004D6899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Надходження г</w:t>
      </w:r>
      <w:r w:rsidRPr="004D6899">
        <w:rPr>
          <w:rFonts w:ascii="Times New Roman" w:hAnsi="Times New Roman"/>
          <w:sz w:val="28"/>
          <w:szCs w:val="28"/>
        </w:rPr>
        <w:t>рош</w:t>
      </w:r>
      <w:r>
        <w:rPr>
          <w:rFonts w:ascii="Times New Roman" w:hAnsi="Times New Roman"/>
          <w:sz w:val="28"/>
          <w:szCs w:val="28"/>
        </w:rPr>
        <w:t>ей</w:t>
      </w:r>
      <w:r w:rsidRPr="004D6899">
        <w:rPr>
          <w:rFonts w:ascii="Times New Roman" w:hAnsi="Times New Roman"/>
          <w:sz w:val="28"/>
          <w:szCs w:val="28"/>
        </w:rPr>
        <w:t xml:space="preserve"> за векселем.</w:t>
      </w:r>
    </w:p>
    <w:p w14:paraId="45EF113A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Якщо в розрахунках, оформлених простим векселем, фігурують два учасники – Продавець (кредитор)і Покупець (боржник), то в операціях з переказним векселем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кількість дійових осіб збільшується. </w:t>
      </w:r>
    </w:p>
    <w:p w14:paraId="7F74B642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За класичною схемою у переказному векселі беруть участь три особи: </w:t>
      </w:r>
    </w:p>
    <w:p w14:paraId="3B80FA2A" w14:textId="77777777" w:rsidR="00F77C8D" w:rsidRDefault="00F77C8D" w:rsidP="00F77C8D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трасант (він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же векселедавець) – є одночасно дебітором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стосовно до ремітента і кредитором стосовно до трасата; </w:t>
      </w:r>
    </w:p>
    <w:p w14:paraId="5E09DE38" w14:textId="77777777" w:rsidR="00F77C8D" w:rsidRDefault="00F77C8D" w:rsidP="00F77C8D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 трасат (платник – той, кому трасант дає наказ платити) – є дебітором стосовно до </w:t>
      </w:r>
      <w:proofErr w:type="spellStart"/>
      <w:r w:rsidRPr="004D6899">
        <w:rPr>
          <w:rFonts w:ascii="Times New Roman" w:hAnsi="Times New Roman"/>
          <w:sz w:val="28"/>
          <w:szCs w:val="28"/>
        </w:rPr>
        <w:t>трасанта</w:t>
      </w:r>
      <w:proofErr w:type="spellEnd"/>
      <w:r w:rsidRPr="004D6899">
        <w:rPr>
          <w:rFonts w:ascii="Times New Roman" w:hAnsi="Times New Roman"/>
          <w:sz w:val="28"/>
          <w:szCs w:val="28"/>
        </w:rPr>
        <w:t xml:space="preserve">; </w:t>
      </w:r>
    </w:p>
    <w:p w14:paraId="3B9EF6B1" w14:textId="77777777" w:rsidR="00F77C8D" w:rsidRDefault="00F77C8D" w:rsidP="00F77C8D">
      <w:pPr>
        <w:pStyle w:val="a9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ремітент (перший </w:t>
      </w:r>
      <w:proofErr w:type="spellStart"/>
      <w:r w:rsidRPr="004D6899">
        <w:rPr>
          <w:rFonts w:ascii="Times New Roman" w:hAnsi="Times New Roman"/>
          <w:sz w:val="28"/>
          <w:szCs w:val="28"/>
        </w:rPr>
        <w:t>векселеутримувач</w:t>
      </w:r>
      <w:proofErr w:type="spellEnd"/>
      <w:r w:rsidRPr="004D6899">
        <w:rPr>
          <w:rFonts w:ascii="Times New Roman" w:hAnsi="Times New Roman"/>
          <w:sz w:val="28"/>
          <w:szCs w:val="28"/>
        </w:rPr>
        <w:t>, він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же векселетримач) – є кредитором стосовно до </w:t>
      </w:r>
      <w:proofErr w:type="spellStart"/>
      <w:r w:rsidRPr="004D6899">
        <w:rPr>
          <w:rFonts w:ascii="Times New Roman" w:hAnsi="Times New Roman"/>
          <w:sz w:val="28"/>
          <w:szCs w:val="28"/>
        </w:rPr>
        <w:t>трасанта</w:t>
      </w:r>
      <w:proofErr w:type="spellEnd"/>
      <w:r w:rsidRPr="004D6899">
        <w:rPr>
          <w:rFonts w:ascii="Times New Roman" w:hAnsi="Times New Roman"/>
          <w:sz w:val="28"/>
          <w:szCs w:val="28"/>
        </w:rPr>
        <w:t xml:space="preserve">. </w:t>
      </w:r>
    </w:p>
    <w:p w14:paraId="5C6AB0CD" w14:textId="77777777" w:rsidR="00F77C8D" w:rsidRDefault="00F77C8D" w:rsidP="00F77C8D">
      <w:pPr>
        <w:pStyle w:val="a9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Використовувати переказні векселі, а також виступати векселедавцями, акцептантами, індосаментами і авалістами можуть тільки юридичні особи – суб‘єкти підприємницької діяльності, які визначаються такими згідно з чинним законодавством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України. </w:t>
      </w:r>
    </w:p>
    <w:p w14:paraId="040D93C6" w14:textId="77777777" w:rsidR="00F77C8D" w:rsidRPr="004D6899" w:rsidRDefault="00F77C8D" w:rsidP="00F77C8D">
      <w:pPr>
        <w:pStyle w:val="a9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Векселі можуть видаватися тільки для оплати за поставлену продукцію, виконані роботи і надані послуги. Вексельний бланк може заповнюватися друкарськими і ручним способами. Сума платежу за векселем обов‘язково заповнюється цифрами і буквами. Вексель підписується керівником і головним бухгалтером юридичної особи і скріпляється печаткою.</w:t>
      </w:r>
    </w:p>
    <w:p w14:paraId="17EACA9B" w14:textId="77777777" w:rsidR="00F77C8D" w:rsidRPr="004D6899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Індосамент проводиться на звороті векселя або на додатковому аркуші. У випадках використання додаткового листа він може бути приєднаний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векселя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6899">
        <w:rPr>
          <w:rFonts w:ascii="Times New Roman" w:hAnsi="Times New Roman"/>
          <w:sz w:val="28"/>
          <w:szCs w:val="28"/>
        </w:rPr>
        <w:t>клеєвим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способом.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цьому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 xml:space="preserve">індосамент, який </w:t>
      </w:r>
      <w:r w:rsidRPr="004D6899">
        <w:rPr>
          <w:rFonts w:ascii="Times New Roman" w:hAnsi="Times New Roman"/>
          <w:sz w:val="28"/>
          <w:szCs w:val="28"/>
        </w:rPr>
        <w:lastRenderedPageBreak/>
        <w:t>розміщається першим на додатковому аркуші, повинен починатися на векселі і закінчуватися на додатковому аркуші, а печатка повинна розміщатися на з’єднанні векселя і додаткового аркуша. Видача та індосамент векселів за межі України не допускається. Вексельні бланки купуються підприємствами в комерційних банках України</w:t>
      </w:r>
      <w:r>
        <w:rPr>
          <w:rFonts w:ascii="Times New Roman" w:hAnsi="Times New Roman"/>
          <w:sz w:val="28"/>
          <w:szCs w:val="28"/>
        </w:rPr>
        <w:t>.</w:t>
      </w:r>
    </w:p>
    <w:p w14:paraId="256B4E36" w14:textId="77777777" w:rsidR="00F77C8D" w:rsidRDefault="00F77C8D" w:rsidP="00F77C8D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C17F4">
        <w:rPr>
          <w:rFonts w:ascii="Times New Roman" w:hAnsi="Times New Roman"/>
          <w:b/>
          <w:bCs/>
          <w:sz w:val="28"/>
          <w:szCs w:val="28"/>
        </w:rPr>
        <w:t>Облік придбання бланків векселів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5528"/>
        <w:gridCol w:w="1418"/>
        <w:gridCol w:w="1412"/>
      </w:tblGrid>
      <w:tr w:rsidR="00F77C8D" w14:paraId="0478A60D" w14:textId="77777777" w:rsidTr="00825C45">
        <w:tc>
          <w:tcPr>
            <w:tcW w:w="704" w:type="dxa"/>
            <w:vMerge w:val="restart"/>
            <w:vAlign w:val="center"/>
          </w:tcPr>
          <w:p w14:paraId="20A44669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17F4">
              <w:rPr>
                <w:rFonts w:ascii="Times New Roman" w:hAnsi="Times New Roman"/>
                <w:sz w:val="28"/>
                <w:szCs w:val="28"/>
              </w:rPr>
              <w:t>№ з/п</w:t>
            </w:r>
          </w:p>
        </w:tc>
        <w:tc>
          <w:tcPr>
            <w:tcW w:w="5528" w:type="dxa"/>
            <w:vMerge w:val="restart"/>
            <w:vAlign w:val="center"/>
          </w:tcPr>
          <w:p w14:paraId="592DE6FC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830" w:type="dxa"/>
            <w:gridSpan w:val="2"/>
            <w:vAlign w:val="center"/>
          </w:tcPr>
          <w:p w14:paraId="51033E44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Бух. проводка</w:t>
            </w:r>
          </w:p>
        </w:tc>
      </w:tr>
      <w:tr w:rsidR="00F77C8D" w14:paraId="3F3EDBFD" w14:textId="77777777" w:rsidTr="00825C45">
        <w:tc>
          <w:tcPr>
            <w:tcW w:w="704" w:type="dxa"/>
            <w:vMerge/>
            <w:vAlign w:val="center"/>
          </w:tcPr>
          <w:p w14:paraId="2386F10E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  <w:vAlign w:val="center"/>
          </w:tcPr>
          <w:p w14:paraId="0ADA5FA2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6939082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Д-т</w:t>
            </w:r>
          </w:p>
        </w:tc>
        <w:tc>
          <w:tcPr>
            <w:tcW w:w="1412" w:type="dxa"/>
            <w:vAlign w:val="center"/>
          </w:tcPr>
          <w:p w14:paraId="161BB015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К-т</w:t>
            </w:r>
          </w:p>
        </w:tc>
      </w:tr>
      <w:tr w:rsidR="00F77C8D" w14:paraId="562FD36C" w14:textId="77777777" w:rsidTr="00825C45">
        <w:tc>
          <w:tcPr>
            <w:tcW w:w="704" w:type="dxa"/>
          </w:tcPr>
          <w:p w14:paraId="698A41E3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23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14:paraId="780E9E8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Сплачено банку за бланки векселів</w:t>
            </w:r>
          </w:p>
        </w:tc>
        <w:tc>
          <w:tcPr>
            <w:tcW w:w="1418" w:type="dxa"/>
          </w:tcPr>
          <w:p w14:paraId="63E43439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412" w:type="dxa"/>
          </w:tcPr>
          <w:p w14:paraId="44B45BBA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F77C8D" w14:paraId="31DC0576" w14:textId="77777777" w:rsidTr="00825C45">
        <w:tc>
          <w:tcPr>
            <w:tcW w:w="704" w:type="dxa"/>
          </w:tcPr>
          <w:p w14:paraId="03CEC2CF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14:paraId="2E143A3E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Нараховане державне мито</w:t>
            </w:r>
          </w:p>
        </w:tc>
        <w:tc>
          <w:tcPr>
            <w:tcW w:w="1418" w:type="dxa"/>
          </w:tcPr>
          <w:p w14:paraId="590B3B75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412" w:type="dxa"/>
          </w:tcPr>
          <w:p w14:paraId="1EF4D6AA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F77C8D" w14:paraId="214C44CF" w14:textId="77777777" w:rsidTr="00825C45">
        <w:tc>
          <w:tcPr>
            <w:tcW w:w="704" w:type="dxa"/>
          </w:tcPr>
          <w:p w14:paraId="60CA413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14:paraId="4A3450B7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бланки одержаних векселів</w:t>
            </w:r>
          </w:p>
        </w:tc>
        <w:tc>
          <w:tcPr>
            <w:tcW w:w="1418" w:type="dxa"/>
          </w:tcPr>
          <w:p w14:paraId="54095ABD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</w:t>
            </w:r>
          </w:p>
        </w:tc>
        <w:tc>
          <w:tcPr>
            <w:tcW w:w="1412" w:type="dxa"/>
          </w:tcPr>
          <w:p w14:paraId="05EAF1D6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</w:tr>
      <w:tr w:rsidR="00F77C8D" w14:paraId="37F46A99" w14:textId="77777777" w:rsidTr="00825C45">
        <w:tc>
          <w:tcPr>
            <w:tcW w:w="704" w:type="dxa"/>
          </w:tcPr>
          <w:p w14:paraId="05F8772B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528" w:type="dxa"/>
          </w:tcPr>
          <w:p w14:paraId="2800686A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Сплачено державне мито</w:t>
            </w:r>
          </w:p>
        </w:tc>
        <w:tc>
          <w:tcPr>
            <w:tcW w:w="1418" w:type="dxa"/>
          </w:tcPr>
          <w:p w14:paraId="32B28266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  <w:tc>
          <w:tcPr>
            <w:tcW w:w="1412" w:type="dxa"/>
          </w:tcPr>
          <w:p w14:paraId="05415F5F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F77C8D" w14:paraId="407CC1A7" w14:textId="77777777" w:rsidTr="00825C45">
        <w:tc>
          <w:tcPr>
            <w:tcW w:w="704" w:type="dxa"/>
          </w:tcPr>
          <w:p w14:paraId="36AA3411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528" w:type="dxa"/>
          </w:tcPr>
          <w:p w14:paraId="3A9C4AC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06232">
              <w:rPr>
                <w:rFonts w:ascii="Times New Roman" w:hAnsi="Times New Roman"/>
                <w:sz w:val="28"/>
                <w:szCs w:val="28"/>
              </w:rPr>
              <w:t xml:space="preserve">Відображено вартість вексельних бланків у </w:t>
            </w:r>
            <w:proofErr w:type="spellStart"/>
            <w:r w:rsidRPr="00906232">
              <w:rPr>
                <w:rFonts w:ascii="Times New Roman" w:hAnsi="Times New Roman"/>
                <w:sz w:val="28"/>
                <w:szCs w:val="28"/>
              </w:rPr>
              <w:t>забалансовому</w:t>
            </w:r>
            <w:proofErr w:type="spellEnd"/>
            <w:r w:rsidRPr="00906232">
              <w:rPr>
                <w:rFonts w:ascii="Times New Roman" w:hAnsi="Times New Roman"/>
                <w:sz w:val="28"/>
                <w:szCs w:val="28"/>
              </w:rPr>
              <w:t xml:space="preserve"> облік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14:paraId="18ED0BD6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8EBC0EB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1412" w:type="dxa"/>
          </w:tcPr>
          <w:p w14:paraId="6754EFB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7C8D" w14:paraId="1422D576" w14:textId="77777777" w:rsidTr="00825C45">
        <w:tc>
          <w:tcPr>
            <w:tcW w:w="704" w:type="dxa"/>
          </w:tcPr>
          <w:p w14:paraId="0D1E07C7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528" w:type="dxa"/>
          </w:tcPr>
          <w:p w14:paraId="541D042E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Використано вексельний бланк</w:t>
            </w:r>
          </w:p>
        </w:tc>
        <w:tc>
          <w:tcPr>
            <w:tcW w:w="1418" w:type="dxa"/>
          </w:tcPr>
          <w:p w14:paraId="78363CF6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412" w:type="dxa"/>
          </w:tcPr>
          <w:p w14:paraId="53CDAAEB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</w:t>
            </w:r>
          </w:p>
        </w:tc>
      </w:tr>
      <w:tr w:rsidR="00F77C8D" w14:paraId="1E54ED1A" w14:textId="77777777" w:rsidTr="00825C45">
        <w:tc>
          <w:tcPr>
            <w:tcW w:w="704" w:type="dxa"/>
          </w:tcPr>
          <w:p w14:paraId="1763CC69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528" w:type="dxa"/>
          </w:tcPr>
          <w:p w14:paraId="6AA5A8FD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06232">
              <w:rPr>
                <w:rFonts w:ascii="Times New Roman" w:hAnsi="Times New Roman"/>
                <w:sz w:val="28"/>
                <w:szCs w:val="28"/>
              </w:rPr>
              <w:t xml:space="preserve">Списані із </w:t>
            </w:r>
            <w:proofErr w:type="spellStart"/>
            <w:r w:rsidRPr="00906232">
              <w:rPr>
                <w:rFonts w:ascii="Times New Roman" w:hAnsi="Times New Roman"/>
                <w:sz w:val="28"/>
                <w:szCs w:val="28"/>
              </w:rPr>
              <w:t>забалансового</w:t>
            </w:r>
            <w:proofErr w:type="spellEnd"/>
            <w:r w:rsidRPr="00906232">
              <w:rPr>
                <w:rFonts w:ascii="Times New Roman" w:hAnsi="Times New Roman"/>
                <w:sz w:val="28"/>
                <w:szCs w:val="28"/>
              </w:rPr>
              <w:t xml:space="preserve"> обліку використан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906232">
              <w:rPr>
                <w:rFonts w:ascii="Times New Roman" w:hAnsi="Times New Roman"/>
                <w:sz w:val="28"/>
                <w:szCs w:val="28"/>
              </w:rPr>
              <w:t xml:space="preserve"> вексельн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906232">
              <w:rPr>
                <w:rFonts w:ascii="Times New Roman" w:hAnsi="Times New Roman"/>
                <w:sz w:val="28"/>
                <w:szCs w:val="28"/>
              </w:rPr>
              <w:t xml:space="preserve"> бланк</w:t>
            </w:r>
          </w:p>
        </w:tc>
        <w:tc>
          <w:tcPr>
            <w:tcW w:w="1418" w:type="dxa"/>
          </w:tcPr>
          <w:p w14:paraId="7050F1BC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14:paraId="6C56B4DA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564FD4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</w:tr>
    </w:tbl>
    <w:p w14:paraId="3B18B84A" w14:textId="77777777" w:rsidR="00F77C8D" w:rsidRDefault="00F77C8D" w:rsidP="00F77C8D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Для об</w:t>
      </w:r>
      <w:r>
        <w:rPr>
          <w:rFonts w:ascii="Times New Roman" w:hAnsi="Times New Roman"/>
          <w:sz w:val="28"/>
          <w:szCs w:val="28"/>
        </w:rPr>
        <w:t>ліку розрахунків</w:t>
      </w:r>
      <w:r w:rsidRPr="004D6899">
        <w:rPr>
          <w:rFonts w:ascii="Times New Roman" w:hAnsi="Times New Roman"/>
          <w:sz w:val="28"/>
          <w:szCs w:val="28"/>
        </w:rPr>
        <w:t xml:space="preserve"> з використанням </w:t>
      </w:r>
      <w:r>
        <w:rPr>
          <w:rFonts w:ascii="Times New Roman" w:hAnsi="Times New Roman"/>
          <w:sz w:val="28"/>
          <w:szCs w:val="28"/>
        </w:rPr>
        <w:t xml:space="preserve">одержаних </w:t>
      </w:r>
      <w:r w:rsidRPr="004D6899">
        <w:rPr>
          <w:rFonts w:ascii="Times New Roman" w:hAnsi="Times New Roman"/>
          <w:sz w:val="28"/>
          <w:szCs w:val="28"/>
        </w:rPr>
        <w:t>векселів у діючому плані рахунків передбачено рахунки:</w:t>
      </w:r>
    </w:p>
    <w:p w14:paraId="3E62D16A" w14:textId="77777777" w:rsidR="00F77C8D" w:rsidRDefault="00F77C8D" w:rsidP="00F77C8D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 xml:space="preserve"> 18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D6899">
        <w:rPr>
          <w:rFonts w:ascii="Times New Roman" w:hAnsi="Times New Roman"/>
          <w:sz w:val="28"/>
          <w:szCs w:val="28"/>
        </w:rPr>
        <w:t>Довгострокова дебіторська заборгованість та інші необоротні активи</w:t>
      </w:r>
      <w:r>
        <w:rPr>
          <w:rFonts w:ascii="Times New Roman" w:hAnsi="Times New Roman"/>
          <w:sz w:val="28"/>
          <w:szCs w:val="28"/>
        </w:rPr>
        <w:t>», субрахунок 182 «Довгострокові векселі одержані»;</w:t>
      </w:r>
    </w:p>
    <w:p w14:paraId="7008A3E0" w14:textId="77777777" w:rsidR="00F77C8D" w:rsidRDefault="00F77C8D" w:rsidP="00F77C8D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D6899">
        <w:rPr>
          <w:rFonts w:ascii="Times New Roman" w:hAnsi="Times New Roman"/>
          <w:sz w:val="28"/>
          <w:szCs w:val="28"/>
        </w:rPr>
        <w:t>Короткострокові векселі одержані</w:t>
      </w:r>
      <w:r>
        <w:rPr>
          <w:rFonts w:ascii="Times New Roman" w:hAnsi="Times New Roman"/>
          <w:sz w:val="28"/>
          <w:szCs w:val="28"/>
        </w:rPr>
        <w:t>».</w:t>
      </w:r>
    </w:p>
    <w:p w14:paraId="1683B673" w14:textId="77777777" w:rsidR="00F77C8D" w:rsidRDefault="00F77C8D" w:rsidP="00F77C8D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6899">
        <w:rPr>
          <w:rFonts w:ascii="Times New Roman" w:hAnsi="Times New Roman"/>
          <w:sz w:val="28"/>
          <w:szCs w:val="28"/>
        </w:rPr>
        <w:t>Рахунки 18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899">
        <w:rPr>
          <w:rFonts w:ascii="Times New Roman" w:hAnsi="Times New Roman"/>
          <w:sz w:val="28"/>
          <w:szCs w:val="28"/>
        </w:rPr>
        <w:t>і 34</w:t>
      </w:r>
      <w:r>
        <w:rPr>
          <w:rFonts w:ascii="Times New Roman" w:hAnsi="Times New Roman"/>
          <w:sz w:val="28"/>
          <w:szCs w:val="28"/>
        </w:rPr>
        <w:t xml:space="preserve"> – активні. </w:t>
      </w:r>
      <w:r w:rsidRPr="004D6899">
        <w:rPr>
          <w:rFonts w:ascii="Times New Roman" w:hAnsi="Times New Roman"/>
          <w:sz w:val="28"/>
          <w:szCs w:val="28"/>
        </w:rPr>
        <w:t xml:space="preserve"> За дебетом цих рахунків відображається дебіторська заборгованість за реалізовану продукцію, виконані роботи, надані послуги, оплата яких гарантується одержаними векселями від покупців та замовників. За кредитом рахунків 18 і 34 відображається оплата векселів векселедавцем.</w:t>
      </w:r>
    </w:p>
    <w:p w14:paraId="55FB06CF" w14:textId="77777777" w:rsidR="00F77C8D" w:rsidRDefault="00F77C8D" w:rsidP="00F77C8D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Кореспонденція рахунків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5528"/>
        <w:gridCol w:w="1418"/>
        <w:gridCol w:w="1412"/>
      </w:tblGrid>
      <w:tr w:rsidR="00F77C8D" w14:paraId="7B36EE07" w14:textId="77777777" w:rsidTr="00825C45">
        <w:tc>
          <w:tcPr>
            <w:tcW w:w="704" w:type="dxa"/>
            <w:vMerge w:val="restart"/>
            <w:vAlign w:val="center"/>
          </w:tcPr>
          <w:p w14:paraId="1A411369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17F4">
              <w:rPr>
                <w:rFonts w:ascii="Times New Roman" w:hAnsi="Times New Roman"/>
                <w:sz w:val="28"/>
                <w:szCs w:val="28"/>
              </w:rPr>
              <w:t>№ з/п</w:t>
            </w:r>
          </w:p>
        </w:tc>
        <w:tc>
          <w:tcPr>
            <w:tcW w:w="5528" w:type="dxa"/>
            <w:vMerge w:val="restart"/>
            <w:vAlign w:val="center"/>
          </w:tcPr>
          <w:p w14:paraId="4D925F50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830" w:type="dxa"/>
            <w:gridSpan w:val="2"/>
            <w:vAlign w:val="center"/>
          </w:tcPr>
          <w:p w14:paraId="035F5470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Бух. проводка</w:t>
            </w:r>
          </w:p>
        </w:tc>
      </w:tr>
      <w:tr w:rsidR="00F77C8D" w14:paraId="2946B488" w14:textId="77777777" w:rsidTr="00825C45">
        <w:tc>
          <w:tcPr>
            <w:tcW w:w="704" w:type="dxa"/>
            <w:vMerge/>
            <w:vAlign w:val="center"/>
          </w:tcPr>
          <w:p w14:paraId="05567C3B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  <w:vAlign w:val="center"/>
          </w:tcPr>
          <w:p w14:paraId="61E8964F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2DB3B5A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Д-т</w:t>
            </w:r>
          </w:p>
        </w:tc>
        <w:tc>
          <w:tcPr>
            <w:tcW w:w="1412" w:type="dxa"/>
            <w:vAlign w:val="center"/>
          </w:tcPr>
          <w:p w14:paraId="1F80BFB1" w14:textId="77777777" w:rsidR="00F77C8D" w:rsidRPr="008C17F4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К-т</w:t>
            </w:r>
          </w:p>
        </w:tc>
      </w:tr>
      <w:tr w:rsidR="00F77C8D" w14:paraId="3C05935B" w14:textId="77777777" w:rsidTr="00825C45">
        <w:tc>
          <w:tcPr>
            <w:tcW w:w="704" w:type="dxa"/>
          </w:tcPr>
          <w:p w14:paraId="188886F9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623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14:paraId="48AEAF76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по собівартості реалізована продукція</w:t>
            </w:r>
          </w:p>
        </w:tc>
        <w:tc>
          <w:tcPr>
            <w:tcW w:w="1418" w:type="dxa"/>
          </w:tcPr>
          <w:p w14:paraId="708E13C3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5990E23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901</w:t>
            </w:r>
          </w:p>
        </w:tc>
        <w:tc>
          <w:tcPr>
            <w:tcW w:w="1412" w:type="dxa"/>
          </w:tcPr>
          <w:p w14:paraId="2BC01694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32EF8A5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F77C8D" w14:paraId="2F160429" w14:textId="77777777" w:rsidTr="00825C45">
        <w:tc>
          <w:tcPr>
            <w:tcW w:w="704" w:type="dxa"/>
          </w:tcPr>
          <w:p w14:paraId="3CF2D37E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14:paraId="4AA8538D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заборгованість на покупців за реалізовану продукцію</w:t>
            </w:r>
          </w:p>
        </w:tc>
        <w:tc>
          <w:tcPr>
            <w:tcW w:w="1418" w:type="dxa"/>
          </w:tcPr>
          <w:p w14:paraId="369A2CB4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3B1BF1F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412" w:type="dxa"/>
          </w:tcPr>
          <w:p w14:paraId="64FDD7E9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950E2B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</w:tr>
      <w:tr w:rsidR="00F77C8D" w14:paraId="58D9993C" w14:textId="77777777" w:rsidTr="00825C45">
        <w:tc>
          <w:tcPr>
            <w:tcW w:w="704" w:type="dxa"/>
          </w:tcPr>
          <w:p w14:paraId="7AAA5A9A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14:paraId="7462D19C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ПДВ (податкове зобов’язання)</w:t>
            </w:r>
          </w:p>
        </w:tc>
        <w:tc>
          <w:tcPr>
            <w:tcW w:w="1418" w:type="dxa"/>
          </w:tcPr>
          <w:p w14:paraId="0E103DB1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  <w:tc>
          <w:tcPr>
            <w:tcW w:w="1412" w:type="dxa"/>
          </w:tcPr>
          <w:p w14:paraId="201B780F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F77C8D" w14:paraId="31D9BA29" w14:textId="77777777" w:rsidTr="00825C45">
        <w:tc>
          <w:tcPr>
            <w:tcW w:w="704" w:type="dxa"/>
          </w:tcPr>
          <w:p w14:paraId="2ED87F12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528" w:type="dxa"/>
          </w:tcPr>
          <w:p w14:paraId="428F9B13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від покупця довгостроковий або короткостроковий вексель</w:t>
            </w:r>
          </w:p>
        </w:tc>
        <w:tc>
          <w:tcPr>
            <w:tcW w:w="1418" w:type="dxa"/>
          </w:tcPr>
          <w:p w14:paraId="1A3CF0F6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F4C4AA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182, 34</w:t>
            </w:r>
          </w:p>
        </w:tc>
        <w:tc>
          <w:tcPr>
            <w:tcW w:w="1412" w:type="dxa"/>
          </w:tcPr>
          <w:p w14:paraId="7F29898B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78E86E3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F77C8D" w14:paraId="2251DF83" w14:textId="77777777" w:rsidTr="00825C45">
        <w:tc>
          <w:tcPr>
            <w:tcW w:w="704" w:type="dxa"/>
          </w:tcPr>
          <w:p w14:paraId="08C78EF0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528" w:type="dxa"/>
          </w:tcPr>
          <w:p w14:paraId="6AC35112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Надійшла в касу готівка в оплату довгострокового або короткострокового векселів</w:t>
            </w:r>
          </w:p>
        </w:tc>
        <w:tc>
          <w:tcPr>
            <w:tcW w:w="1418" w:type="dxa"/>
          </w:tcPr>
          <w:p w14:paraId="620A0F1B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6F26A68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CE8EB54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412" w:type="dxa"/>
          </w:tcPr>
          <w:p w14:paraId="5E98BD4C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4A2E6E6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880DAAD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182, 34</w:t>
            </w:r>
          </w:p>
        </w:tc>
      </w:tr>
      <w:tr w:rsidR="00F77C8D" w14:paraId="7581BA3E" w14:textId="77777777" w:rsidTr="00825C45">
        <w:tc>
          <w:tcPr>
            <w:tcW w:w="704" w:type="dxa"/>
          </w:tcPr>
          <w:p w14:paraId="39F87510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528" w:type="dxa"/>
          </w:tcPr>
          <w:p w14:paraId="0BAFC3CD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 оплату довгострокового або короткострокового векселів</w:t>
            </w:r>
          </w:p>
        </w:tc>
        <w:tc>
          <w:tcPr>
            <w:tcW w:w="1418" w:type="dxa"/>
          </w:tcPr>
          <w:p w14:paraId="70F752E8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B347A67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7489F75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412" w:type="dxa"/>
          </w:tcPr>
          <w:p w14:paraId="0819FD69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81B5792" w14:textId="77777777" w:rsidR="00F77C8D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FB5F3E" w14:textId="77777777" w:rsidR="00F77C8D" w:rsidRPr="00906232" w:rsidRDefault="00F77C8D" w:rsidP="00825C45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182, 34</w:t>
            </w:r>
          </w:p>
        </w:tc>
      </w:tr>
    </w:tbl>
    <w:p w14:paraId="0CD2CBF2" w14:textId="77777777" w:rsidR="00F77C8D" w:rsidRPr="00A32405" w:rsidRDefault="00F77C8D" w:rsidP="00F77C8D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Аналітичний облік по рахунках 18 та 34 ведуть у в</w:t>
      </w:r>
      <w:r w:rsidRPr="00566A89">
        <w:rPr>
          <w:rFonts w:ascii="Times New Roman" w:hAnsi="Times New Roman"/>
          <w:sz w:val="28"/>
          <w:szCs w:val="28"/>
        </w:rPr>
        <w:t xml:space="preserve">ідомості аналітичного обліку </w:t>
      </w:r>
      <w:r>
        <w:rPr>
          <w:rFonts w:ascii="Times New Roman" w:hAnsi="Times New Roman"/>
          <w:sz w:val="28"/>
          <w:szCs w:val="28"/>
        </w:rPr>
        <w:t xml:space="preserve">одержаних і виданих векселів ф. </w:t>
      </w:r>
      <w:r w:rsidRPr="00566A89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 xml:space="preserve"> с.-г., с</w:t>
      </w:r>
      <w:r w:rsidRPr="00566A89">
        <w:rPr>
          <w:rFonts w:ascii="Times New Roman" w:hAnsi="Times New Roman"/>
          <w:sz w:val="28"/>
          <w:szCs w:val="28"/>
        </w:rPr>
        <w:t>интетичний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66A89">
        <w:rPr>
          <w:rFonts w:ascii="Times New Roman" w:hAnsi="Times New Roman"/>
          <w:sz w:val="28"/>
          <w:szCs w:val="28"/>
        </w:rPr>
        <w:t>в Журналі-ордері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A89">
        <w:rPr>
          <w:rFonts w:ascii="Times New Roman" w:hAnsi="Times New Roman"/>
          <w:sz w:val="28"/>
          <w:szCs w:val="28"/>
        </w:rPr>
        <w:t xml:space="preserve">№ 3Б с.-г. </w:t>
      </w:r>
      <w:r w:rsidRPr="00A32405">
        <w:rPr>
          <w:rFonts w:ascii="Times New Roman" w:hAnsi="Times New Roman"/>
          <w:color w:val="222222"/>
          <w:sz w:val="28"/>
          <w:szCs w:val="28"/>
        </w:rPr>
        <w:t>Аналітичний облік ведуть за кожним одержаним векселем.</w:t>
      </w:r>
      <w:r w:rsidRPr="00A32405">
        <w:rPr>
          <w:rFonts w:ascii="Times New Roman" w:hAnsi="Times New Roman"/>
          <w:sz w:val="28"/>
          <w:szCs w:val="28"/>
        </w:rPr>
        <w:t xml:space="preserve"> </w:t>
      </w:r>
    </w:p>
    <w:p w14:paraId="0DE6BA4A" w14:textId="77777777" w:rsidR="00F77C8D" w:rsidRPr="008C17F4" w:rsidRDefault="00F77C8D" w:rsidP="00F77C8D">
      <w:pPr>
        <w:pStyle w:val="a9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D21CFF4" w14:textId="77777777" w:rsidR="00A266DA" w:rsidRDefault="00A266DA"/>
    <w:sectPr w:rsidR="00A26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15BEE"/>
    <w:multiLevelType w:val="hybridMultilevel"/>
    <w:tmpl w:val="E6A61ED8"/>
    <w:lvl w:ilvl="0" w:tplc="3E1E5D18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6F6F1C"/>
    <w:multiLevelType w:val="hybridMultilevel"/>
    <w:tmpl w:val="94B20C52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57726EB4"/>
    <w:multiLevelType w:val="hybridMultilevel"/>
    <w:tmpl w:val="35EE4AF6"/>
    <w:lvl w:ilvl="0" w:tplc="6C8A7DA2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1130393">
    <w:abstractNumId w:val="2"/>
  </w:num>
  <w:num w:numId="2" w16cid:durableId="227958357">
    <w:abstractNumId w:val="1"/>
  </w:num>
  <w:num w:numId="3" w16cid:durableId="285622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C8D"/>
    <w:rsid w:val="000A61F1"/>
    <w:rsid w:val="001F703D"/>
    <w:rsid w:val="005154C2"/>
    <w:rsid w:val="005C7F65"/>
    <w:rsid w:val="0077363D"/>
    <w:rsid w:val="00A266DA"/>
    <w:rsid w:val="00F7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AB127"/>
  <w15:chartTrackingRefBased/>
  <w15:docId w15:val="{16F13153-F1D7-4389-BD4D-13F82EA7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7C8D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7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7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7C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7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7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7C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7C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7C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7C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C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7C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7C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7C8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7C8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7C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7C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7C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7C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7C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77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7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77C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7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77C8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7C8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77C8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77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77C8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77C8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77C8D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933</Words>
  <Characters>5600</Characters>
  <Application>Microsoft Office Word</Application>
  <DocSecurity>0</DocSecurity>
  <Lines>46</Lines>
  <Paragraphs>13</Paragraphs>
  <ScaleCrop>false</ScaleCrop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1</cp:revision>
  <dcterms:created xsi:type="dcterms:W3CDTF">2025-01-15T06:54:00Z</dcterms:created>
  <dcterms:modified xsi:type="dcterms:W3CDTF">2025-01-15T06:59:00Z</dcterms:modified>
</cp:coreProperties>
</file>