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плодових культур.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системи захисту  яблуні.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хвороб плодо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>вих культур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42252B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1. Парша яблуні і груші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2. Плодова гниль (моніліоз)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3. Борошниста роса яблуні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4. Чорний рак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5. Моніліоз кісточкових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6. Клястероспоріоз (дірчаста плямистість)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7. Коккомікоз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плодових культур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5"/>
        <w:gridCol w:w="1660"/>
        <w:gridCol w:w="1597"/>
        <w:gridCol w:w="1843"/>
        <w:gridCol w:w="3082"/>
      </w:tblGrid>
      <w:tr w:rsidR="0042252B" w:rsidRPr="007207EA" w:rsidTr="000B1484">
        <w:trPr>
          <w:jc w:val="center"/>
        </w:trPr>
        <w:tc>
          <w:tcPr>
            <w:tcW w:w="1705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597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843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308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42252B" w:rsidRPr="007675EE" w:rsidTr="000B1484">
        <w:trPr>
          <w:jc w:val="center"/>
        </w:trPr>
        <w:tc>
          <w:tcPr>
            <w:tcW w:w="1705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308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42252B" w:rsidRPr="007675EE" w:rsidTr="000B1484">
        <w:trPr>
          <w:jc w:val="center"/>
        </w:trPr>
        <w:tc>
          <w:tcPr>
            <w:tcW w:w="1705" w:type="dxa"/>
            <w:vAlign w:val="center"/>
          </w:tcPr>
          <w:p w:rsidR="00EB7AFA" w:rsidRDefault="00A429C9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A429C9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Парша</w:t>
            </w:r>
            <w:proofErr w:type="spellEnd"/>
            <w:r w:rsidRPr="00A429C9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яблуні і груші</w:t>
            </w:r>
          </w:p>
          <w:p w:rsidR="00EB7AFA" w:rsidRPr="007207EA" w:rsidRDefault="00EB7AFA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660" w:type="dxa"/>
            <w:vAlign w:val="center"/>
          </w:tcPr>
          <w:p w:rsidR="0042252B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сумчастий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</w:t>
            </w:r>
          </w:p>
        </w:tc>
        <w:tc>
          <w:tcPr>
            <w:tcW w:w="1597" w:type="dxa"/>
            <w:vAlign w:val="center"/>
          </w:tcPr>
          <w:p w:rsidR="0042252B" w:rsidRPr="007675EE" w:rsidRDefault="00E002C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уражає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листя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плоди, на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груші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хворіють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також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пагони</w:t>
            </w:r>
            <w:proofErr w:type="spellEnd"/>
          </w:p>
        </w:tc>
        <w:tc>
          <w:tcPr>
            <w:tcW w:w="1843" w:type="dxa"/>
            <w:vAlign w:val="center"/>
          </w:tcPr>
          <w:p w:rsidR="0042252B" w:rsidRPr="000911D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плямистість, однобокість</w:t>
            </w:r>
          </w:p>
        </w:tc>
        <w:tc>
          <w:tcPr>
            <w:tcW w:w="3082" w:type="dxa"/>
            <w:vAlign w:val="center"/>
          </w:tcPr>
          <w:p w:rsidR="0042252B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листі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з’являються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світлі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маслянисті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потім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вони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темніють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вкриваються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нальотом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плодах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утворюються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сіро-чорні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округлі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тканина плода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пробковіє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розтріскується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Якщо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ураження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плода настало рано,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спостерігається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його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деформація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(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однобокість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).</w:t>
            </w:r>
          </w:p>
        </w:tc>
      </w:tr>
      <w:tr w:rsidR="00C652BE" w:rsidRPr="007675EE" w:rsidTr="000B1484">
        <w:trPr>
          <w:jc w:val="center"/>
        </w:trPr>
        <w:tc>
          <w:tcPr>
            <w:tcW w:w="1705" w:type="dxa"/>
            <w:vAlign w:val="center"/>
          </w:tcPr>
          <w:p w:rsidR="00C652BE" w:rsidRDefault="00E002C3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Плодова гниль (</w:t>
            </w:r>
            <w:proofErr w:type="spellStart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моніліоз</w:t>
            </w:r>
            <w:proofErr w:type="spellEnd"/>
            <w:r w:rsidRPr="00E002C3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</w:tc>
        <w:tc>
          <w:tcPr>
            <w:tcW w:w="1660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незавершений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</w:t>
            </w:r>
          </w:p>
        </w:tc>
        <w:tc>
          <w:tcPr>
            <w:tcW w:w="1597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у</w:t>
            </w:r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раження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плодів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яблуні</w:t>
            </w:r>
            <w:proofErr w:type="spellEnd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="00E002C3" w:rsidRPr="00E002C3">
              <w:rPr>
                <w:rFonts w:ascii="Times New Roman" w:eastAsia="Times New Roman" w:hAnsi="Times New Roman" w:cs="Times New Roman"/>
                <w:sz w:val="24"/>
                <w:szCs w:val="20"/>
              </w:rPr>
              <w:t>груші</w:t>
            </w:r>
            <w:proofErr w:type="spellEnd"/>
          </w:p>
        </w:tc>
        <w:tc>
          <w:tcPr>
            <w:tcW w:w="1843" w:type="dxa"/>
            <w:vAlign w:val="center"/>
          </w:tcPr>
          <w:p w:rsidR="00C652BE" w:rsidRPr="000911D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плямистість, спороносні подушечки, муміфікація плодів</w:t>
            </w:r>
          </w:p>
        </w:tc>
        <w:tc>
          <w:tcPr>
            <w:tcW w:w="3082" w:type="dxa"/>
            <w:vAlign w:val="center"/>
          </w:tcPr>
          <w:p w:rsidR="00C652BE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очинається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невеликої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бурої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яка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розростається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охоплює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увесь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плід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М’якоть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розм’якшується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стає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бурою і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втрачає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смакові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proofErr w:type="gram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якості.</w:t>
            </w:r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На</w:t>
            </w:r>
            <w:proofErr w:type="spellEnd"/>
            <w:proofErr w:type="gram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поверхні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з’являються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спороносні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подушечки. Плоди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чорніють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муміфікуються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Джерело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інфекції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–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муміфіковані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плоди.</w:t>
            </w:r>
          </w:p>
        </w:tc>
      </w:tr>
      <w:tr w:rsidR="00C652BE" w:rsidRPr="007675EE" w:rsidTr="000B1484">
        <w:trPr>
          <w:jc w:val="center"/>
        </w:trPr>
        <w:tc>
          <w:tcPr>
            <w:tcW w:w="1705" w:type="dxa"/>
            <w:vAlign w:val="center"/>
          </w:tcPr>
          <w:p w:rsidR="00C652BE" w:rsidRDefault="003C0CBF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Борошниста роса яблуні</w:t>
            </w:r>
          </w:p>
        </w:tc>
        <w:tc>
          <w:tcPr>
            <w:tcW w:w="1660" w:type="dxa"/>
            <w:vAlign w:val="center"/>
          </w:tcPr>
          <w:p w:rsidR="00C652BE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сумчастий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</w:t>
            </w:r>
          </w:p>
        </w:tc>
        <w:tc>
          <w:tcPr>
            <w:tcW w:w="1597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уражаються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листя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пагони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, плоди.</w:t>
            </w:r>
          </w:p>
        </w:tc>
        <w:tc>
          <w:tcPr>
            <w:tcW w:w="1843" w:type="dxa"/>
            <w:vAlign w:val="center"/>
          </w:tcPr>
          <w:p w:rsidR="00C652BE" w:rsidRPr="000911D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сірувато-білий борошнистий наліт,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коротковузлість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, «іржава сіточка»</w:t>
            </w:r>
          </w:p>
        </w:tc>
        <w:tc>
          <w:tcPr>
            <w:tcW w:w="3082" w:type="dxa"/>
            <w:vAlign w:val="center"/>
          </w:tcPr>
          <w:p w:rsidR="00C652BE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сірувато-білий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борошнистий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наліт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блідніє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складається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по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головній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жильці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в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човник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деформується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перестає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розвиватись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Уражені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пагони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вкриваються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нальотом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який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пізніше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темніє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ріст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пагонів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сповільнюється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з’являється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коротковузлість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верхівкові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пагони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відмирають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Плоди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вкриваються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сіруватим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нальотом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на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місці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якого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потім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з’являється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“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іржава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lastRenderedPageBreak/>
              <w:t>сіточка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”.</w:t>
            </w:r>
          </w:p>
        </w:tc>
      </w:tr>
      <w:tr w:rsidR="00C652BE" w:rsidRPr="007675EE" w:rsidTr="000B1484">
        <w:trPr>
          <w:jc w:val="center"/>
        </w:trPr>
        <w:tc>
          <w:tcPr>
            <w:tcW w:w="1705" w:type="dxa"/>
            <w:vAlign w:val="center"/>
          </w:tcPr>
          <w:p w:rsidR="00C652BE" w:rsidRDefault="000911DE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Чорний рак</w:t>
            </w:r>
          </w:p>
        </w:tc>
        <w:tc>
          <w:tcPr>
            <w:tcW w:w="1660" w:type="dxa"/>
            <w:vAlign w:val="center"/>
          </w:tcPr>
          <w:p w:rsidR="00C652BE" w:rsidRPr="007675EE" w:rsidRDefault="003C0CBF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незавершений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гриб.</w:t>
            </w:r>
          </w:p>
        </w:tc>
        <w:tc>
          <w:tcPr>
            <w:tcW w:w="1597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уражаються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стовбури</w:t>
            </w:r>
            <w:proofErr w:type="spellEnd"/>
            <w:proofErr w:type="gram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скелетні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гілки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листя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квітки</w:t>
            </w:r>
            <w:proofErr w:type="spellEnd"/>
            <w:r w:rsidR="003C0CBF"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, плоди.</w:t>
            </w:r>
            <w:r w:rsidR="00F92E37" w:rsidRPr="00F92E37"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У</w:t>
            </w:r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ражає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яблуню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грушу, айву, хурму,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горіх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, лимон, гранат</w:t>
            </w:r>
          </w:p>
        </w:tc>
        <w:tc>
          <w:tcPr>
            <w:tcW w:w="1843" w:type="dxa"/>
            <w:vAlign w:val="center"/>
          </w:tcPr>
          <w:p w:rsidR="00C652BE" w:rsidRPr="000911D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плямистість, гниль, муміфікація плодів</w:t>
            </w:r>
          </w:p>
        </w:tc>
        <w:tc>
          <w:tcPr>
            <w:tcW w:w="3082" w:type="dxa"/>
            <w:vAlign w:val="center"/>
          </w:tcPr>
          <w:p w:rsidR="00C652BE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округлені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червоно-бурі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чорними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цятками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спороносіння</w:t>
            </w:r>
            <w:proofErr w:type="spellEnd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гриба – </w:t>
            </w:r>
            <w:proofErr w:type="spellStart"/>
            <w:r w:rsidRPr="003C0CBF">
              <w:rPr>
                <w:rFonts w:ascii="Times New Roman" w:eastAsia="Times New Roman" w:hAnsi="Times New Roman" w:cs="Times New Roman"/>
                <w:sz w:val="24"/>
                <w:szCs w:val="20"/>
              </w:rPr>
              <w:t>пікніди</w:t>
            </w:r>
            <w:proofErr w:type="spellEnd"/>
            <w:r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плодах гниль,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він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чорніє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зморщується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муміфікується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на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його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поверхні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з’являється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безліч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пікнід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  <w:tr w:rsidR="00C652BE" w:rsidRPr="007675EE" w:rsidTr="000B1484">
        <w:trPr>
          <w:jc w:val="center"/>
        </w:trPr>
        <w:tc>
          <w:tcPr>
            <w:tcW w:w="1705" w:type="dxa"/>
            <w:vAlign w:val="center"/>
          </w:tcPr>
          <w:p w:rsidR="00C652BE" w:rsidRDefault="00F92E37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F92E3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Моніліоз</w:t>
            </w:r>
            <w:proofErr w:type="spellEnd"/>
            <w:r w:rsidRPr="00F92E3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кісточкових</w:t>
            </w:r>
          </w:p>
        </w:tc>
        <w:tc>
          <w:tcPr>
            <w:tcW w:w="1660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незавершений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</w:t>
            </w:r>
          </w:p>
        </w:tc>
        <w:tc>
          <w:tcPr>
            <w:tcW w:w="1597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м</w:t>
            </w:r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оніліальний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опік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–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навесні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побуріння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засихання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квітів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листків</w:t>
            </w:r>
            <w:proofErr w:type="spellEnd"/>
            <w:r w:rsidR="00F92E37" w:rsidRPr="00F92E37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C652BE" w:rsidRPr="007675EE" w:rsidRDefault="00190774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моніліальний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опік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плодову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гниль</w:t>
            </w:r>
          </w:p>
        </w:tc>
        <w:tc>
          <w:tcPr>
            <w:tcW w:w="3082" w:type="dxa"/>
            <w:vAlign w:val="center"/>
          </w:tcPr>
          <w:p w:rsidR="00C652BE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очинається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невеликої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яка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швидко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розростається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охоплює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увесь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плід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На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вражених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частинах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плодів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дерева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з’являються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пухнасті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сірі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подушечки.</w:t>
            </w:r>
          </w:p>
        </w:tc>
      </w:tr>
      <w:tr w:rsidR="00C652BE" w:rsidRPr="007675EE" w:rsidTr="000B1484">
        <w:trPr>
          <w:jc w:val="center"/>
        </w:trPr>
        <w:tc>
          <w:tcPr>
            <w:tcW w:w="1705" w:type="dxa"/>
            <w:vAlign w:val="center"/>
          </w:tcPr>
          <w:p w:rsidR="00C652BE" w:rsidRDefault="00190774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Клястероспоріоз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(дірчаста плямистість</w:t>
            </w:r>
            <w:r w:rsidR="000911DE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</w:tc>
        <w:tc>
          <w:tcPr>
            <w:tcW w:w="1660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незавершений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</w:t>
            </w:r>
          </w:p>
        </w:tc>
        <w:tc>
          <w:tcPr>
            <w:tcW w:w="1597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л</w:t>
            </w:r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истя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при сильному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захворюванні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обпадає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C652BE" w:rsidRPr="000911D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плямистість,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камідь</w:t>
            </w:r>
            <w:proofErr w:type="spellEnd"/>
          </w:p>
        </w:tc>
        <w:tc>
          <w:tcPr>
            <w:tcW w:w="3082" w:type="dxa"/>
            <w:vAlign w:val="center"/>
          </w:tcPr>
          <w:p w:rsidR="00C652BE" w:rsidRPr="007675EE" w:rsidRDefault="000911DE" w:rsidP="000911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лисках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округлі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світло-коричневі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бурою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облямівкою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середина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яких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випадає</w:t>
            </w:r>
            <w:proofErr w:type="spellEnd"/>
            <w:r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="00190774" w:rsidRPr="000911DE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 пагонах і бруньках оранжеві плями, які пізніше розтріскуються із них виділяється клейка речовина (</w:t>
            </w:r>
            <w:proofErr w:type="spellStart"/>
            <w:r w:rsidR="00190774" w:rsidRPr="000911DE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камідь</w:t>
            </w:r>
            <w:proofErr w:type="spellEnd"/>
            <w:r w:rsidR="00190774" w:rsidRPr="000911DE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). </w:t>
            </w:r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плодах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дрібні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червоні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вдавлені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у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вигляді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коростинок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яких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витікає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камідь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 Плоди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стають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уродливими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м’якоть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в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місцях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ураження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підсихає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до </w:t>
            </w:r>
            <w:proofErr w:type="spellStart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кісточки</w:t>
            </w:r>
            <w:proofErr w:type="spellEnd"/>
            <w:r w:rsidR="00190774" w:rsidRPr="00190774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  <w:tr w:rsidR="00C652BE" w:rsidRPr="007675EE" w:rsidTr="000B1484">
        <w:trPr>
          <w:jc w:val="center"/>
        </w:trPr>
        <w:tc>
          <w:tcPr>
            <w:tcW w:w="1705" w:type="dxa"/>
            <w:vAlign w:val="center"/>
          </w:tcPr>
          <w:p w:rsidR="008C743E" w:rsidRPr="008C743E" w:rsidRDefault="000911DE" w:rsidP="008C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Коккомікоз</w:t>
            </w:r>
            <w:proofErr w:type="spellEnd"/>
          </w:p>
          <w:p w:rsidR="00C652BE" w:rsidRDefault="00C652BE" w:rsidP="00C65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660" w:type="dxa"/>
            <w:vAlign w:val="center"/>
          </w:tcPr>
          <w:p w:rsidR="00C652BE" w:rsidRPr="007675EE" w:rsidRDefault="000911D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сумчастий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</w:t>
            </w:r>
          </w:p>
        </w:tc>
        <w:tc>
          <w:tcPr>
            <w:tcW w:w="1597" w:type="dxa"/>
            <w:vAlign w:val="center"/>
          </w:tcPr>
          <w:p w:rsidR="00C652BE" w:rsidRPr="007675EE" w:rsidRDefault="008C743E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найчастіше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уражує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вишню, черешню,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менше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антипку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сливу,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терен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, абрикос</w:t>
            </w:r>
          </w:p>
        </w:tc>
        <w:tc>
          <w:tcPr>
            <w:tcW w:w="1843" w:type="dxa"/>
            <w:vAlign w:val="center"/>
          </w:tcPr>
          <w:p w:rsidR="00C652BE" w:rsidRPr="00787DA3" w:rsidRDefault="00787DA3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плямистість,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білі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подушечки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конідіального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спороношення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гриба</w:t>
            </w:r>
          </w:p>
        </w:tc>
        <w:tc>
          <w:tcPr>
            <w:tcW w:w="3082" w:type="dxa"/>
            <w:vAlign w:val="center"/>
          </w:tcPr>
          <w:p w:rsidR="00C652BE" w:rsidRPr="007675EE" w:rsidRDefault="00787DA3" w:rsidP="00787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На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верхньому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боці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листка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з’являються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дрібні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темно-бурого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кольору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на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нижньому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боці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в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місцях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добре видно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рожево-білі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подушечки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конідіального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спороношення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гриба,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які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є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джерелом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вторинної</w:t>
            </w:r>
            <w:proofErr w:type="spellEnd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proofErr w:type="gramStart"/>
            <w:r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інфекції.</w:t>
            </w:r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У</w:t>
            </w:r>
            <w:proofErr w:type="spellEnd"/>
            <w:proofErr w:type="gram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разі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суттєвого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ураження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хворобою у дерев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починається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передчасний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листопад. Уже в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кінці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липня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—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серпні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вони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скидають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60–80 %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листків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а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молоді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насадження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оголюються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повністю</w:t>
            </w:r>
            <w:proofErr w:type="spellEnd"/>
            <w:r w:rsidR="008C743E" w:rsidRPr="008C743E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</w:tbl>
    <w:p w:rsidR="0042252B" w:rsidRPr="0042252B" w:rsidRDefault="0042252B">
      <w:pPr>
        <w:rPr>
          <w:lang w:val="uk-UA"/>
        </w:rPr>
      </w:pPr>
    </w:p>
    <w:p w:rsidR="008C79CF" w:rsidRDefault="008C79CF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8C79CF" w:rsidRDefault="008C79CF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 яблуні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tbl>
      <w:tblPr>
        <w:tblStyle w:val="a5"/>
        <w:tblW w:w="10868" w:type="dxa"/>
        <w:tblInd w:w="-601" w:type="dxa"/>
        <w:tblLook w:val="04A0" w:firstRow="1" w:lastRow="0" w:firstColumn="1" w:lastColumn="0" w:noHBand="0" w:noVBand="1"/>
      </w:tblPr>
      <w:tblGrid>
        <w:gridCol w:w="1985"/>
        <w:gridCol w:w="2099"/>
        <w:gridCol w:w="2238"/>
        <w:gridCol w:w="1224"/>
        <w:gridCol w:w="1960"/>
        <w:gridCol w:w="1362"/>
      </w:tblGrid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Шкідливий об’єкт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Заходи боротьби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Період проведення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Кратність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Назва препарату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Норма витрати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Комплекс зимуючих шкідників та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хвороб</w:t>
            </w:r>
            <w:proofErr w:type="spellEnd"/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Оранка, видалення сухих гілок, очищення кори, побілка штамбів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Після збирання врожаю (осінь)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Вапняне молоко (20-80%) + мідний купорос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3–5% купоросу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Зимуючі фази кліщів, попелиць, медяниць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 та обмивання дерев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Весна (до розпускання бруньок)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ДНОК, 40%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в.р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10–15 кг/га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Попелиці, кліщі, листогризучі гусениці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Фаза «зеленого конусу»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Нурел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Д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Люфокс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Медян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екстра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1,0–1,5 / 1,0 / 1,5–2,0 л/га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Довгоносики,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квіткоїди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, листокрутки, білан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Розпускання бруньок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Дурсбан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Актара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Пірінекс</w:t>
            </w:r>
            <w:proofErr w:type="spellEnd"/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2,0 / 0,2 / 1,2 л/га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Листогризучі шкідники, попелиці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Фаза «рожевий бутон»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Актара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Карате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Зеон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Матч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0,2 / 0,4 / 1,0–1,5 л/га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Яблунева плодожерка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Моніторинг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Цвітіння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—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Феромонні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пастки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—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Яблунева міль, пильщики (трачі), медяниці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Відразу після цвітіння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Конфідор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Арріво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Стробі</w:t>
            </w:r>
            <w:proofErr w:type="spellEnd"/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0,3 / 0,3 / 0,3 кг(л)/га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Плодожерки, мухи, кліщі, молі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Через 10–12 днів після цвітіння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Актеллік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Ф’юрі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Топсін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М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1,2 / 0,2 / 2,0 л(кг)/га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Яблунева плодожерка (I покоління), кліщі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Обприскування (при сумі температур 230°С)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Через 18–20 днів після цвітіння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Золон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Ортус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Апполо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Омайт</w:t>
            </w:r>
            <w:proofErr w:type="spellEnd"/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3,0 / 0,6 / 0,5 / 2,5 л(кг)/га</w:t>
            </w:r>
          </w:p>
        </w:tc>
      </w:tr>
      <w:tr w:rsidR="008C79CF" w:rsidRPr="00787DA3" w:rsidTr="008C79CF">
        <w:trPr>
          <w:trHeight w:val="315"/>
        </w:trPr>
        <w:tc>
          <w:tcPr>
            <w:tcW w:w="1985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Плодожерки, листокрутки, молі</w:t>
            </w:r>
          </w:p>
        </w:tc>
        <w:tc>
          <w:tcPr>
            <w:tcW w:w="2099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Накладання ловчих поясів, обприскування</w:t>
            </w:r>
          </w:p>
        </w:tc>
        <w:tc>
          <w:tcPr>
            <w:tcW w:w="2238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Через 14–15 днів після попередньої обробки</w:t>
            </w:r>
          </w:p>
        </w:tc>
        <w:tc>
          <w:tcPr>
            <w:tcW w:w="1224" w:type="dxa"/>
            <w:hideMark/>
          </w:tcPr>
          <w:p w:rsidR="00787DA3" w:rsidRPr="00787DA3" w:rsidRDefault="00787DA3" w:rsidP="00787DA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960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Стробі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/ </w:t>
            </w:r>
            <w:proofErr w:type="spellStart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Еупарен</w:t>
            </w:r>
            <w:proofErr w:type="spellEnd"/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М / Сонет</w:t>
            </w:r>
          </w:p>
        </w:tc>
        <w:tc>
          <w:tcPr>
            <w:tcW w:w="1362" w:type="dxa"/>
            <w:hideMark/>
          </w:tcPr>
          <w:p w:rsidR="00787DA3" w:rsidRPr="00787DA3" w:rsidRDefault="00787DA3" w:rsidP="00787DA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787DA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0,3 / 0,2 / 0,7 кг(л)/га</w:t>
            </w:r>
          </w:p>
        </w:tc>
      </w:tr>
    </w:tbl>
    <w:p w:rsidR="00787DA3" w:rsidRDefault="00787DA3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787DA3" w:rsidRDefault="00787DA3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</w:rPr>
        <w:t xml:space="preserve">      </w:t>
      </w:r>
      <w:proofErr w:type="spellStart"/>
      <w:r w:rsidR="0042252B" w:rsidRPr="00891C19">
        <w:rPr>
          <w:rFonts w:ascii="Times New Roman" w:hAnsi="Times New Roman"/>
          <w:b/>
          <w:sz w:val="24"/>
          <w:szCs w:val="20"/>
        </w:rPr>
        <w:t>Завдання</w:t>
      </w:r>
      <w:proofErr w:type="spellEnd"/>
      <w:r w:rsidR="0042252B" w:rsidRPr="00891C19">
        <w:rPr>
          <w:rFonts w:ascii="Times New Roman" w:hAnsi="Times New Roman"/>
          <w:b/>
          <w:sz w:val="24"/>
          <w:szCs w:val="20"/>
        </w:rPr>
        <w:t xml:space="preserve"> 3.</w:t>
      </w:r>
      <w:r w:rsidR="008C79CF">
        <w:rPr>
          <w:rFonts w:ascii="Times New Roman" w:hAnsi="Times New Roman"/>
          <w:b/>
          <w:sz w:val="24"/>
          <w:szCs w:val="20"/>
          <w:lang w:val="uk-UA"/>
        </w:rPr>
        <w:t xml:space="preserve"> 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культур згідно з рисунками 58, 59, 60, 61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:rsidR="00EB7AFA" w:rsidRP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lastRenderedPageBreak/>
        <w:drawing>
          <wp:inline distT="0" distB="0" distL="0" distR="0">
            <wp:extent cx="2905125" cy="1949450"/>
            <wp:effectExtent l="0" t="0" r="0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695" cy="195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724150" cy="1897380"/>
            <wp:effectExtent l="0" t="0" r="0" b="0"/>
            <wp:docPr id="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902" cy="1902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EB7AFA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</w:p>
    <w:p w:rsidR="0042252B" w:rsidRPr="0042252B" w:rsidRDefault="0042252B" w:rsidP="008C79CF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 xml:space="preserve">Рис. 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58</w:t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EB7AFA" w:rsidRPr="008C79CF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                             </w:t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 xml:space="preserve">Рис. 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59</w:t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Pr="008C79CF">
        <w:rPr>
          <w:rFonts w:ascii="Times New Roman" w:hAnsi="Times New Roman"/>
          <w:b/>
          <w:bCs/>
          <w:sz w:val="24"/>
          <w:szCs w:val="20"/>
          <w:lang w:val="uk-UA"/>
        </w:rPr>
        <w:tab/>
      </w:r>
      <w:proofErr w:type="spellStart"/>
      <w:r w:rsid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</w:t>
      </w:r>
      <w:r w:rsidR="008C79CF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арша</w:t>
      </w:r>
      <w:proofErr w:type="spellEnd"/>
      <w:r w:rsidR="008C79CF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яблуні і груші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C79C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  <w:r w:rsidR="008C79CF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Ч</w:t>
      </w:r>
      <w:r w:rsidR="008C79CF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орний рак яблуні</w:t>
      </w:r>
    </w:p>
    <w:p w:rsidR="008C79CF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891C19">
        <w:rPr>
          <w:rFonts w:ascii="Times New Roman" w:hAnsi="Times New Roman"/>
          <w:sz w:val="24"/>
          <w:szCs w:val="20"/>
        </w:rPr>
        <w:t xml:space="preserve">1.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уражений листок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</w:t>
      </w:r>
      <w:r w:rsidR="008C79CF">
        <w:rPr>
          <w:rFonts w:ascii="Times New Roman" w:hAnsi="Times New Roman"/>
          <w:sz w:val="24"/>
          <w:szCs w:val="20"/>
          <w:lang w:val="uk-UA"/>
        </w:rPr>
        <w:t xml:space="preserve">                          </w:t>
      </w:r>
      <w:r w:rsidRPr="00891C19">
        <w:rPr>
          <w:rFonts w:ascii="Times New Roman" w:hAnsi="Times New Roman"/>
          <w:sz w:val="24"/>
          <w:szCs w:val="20"/>
        </w:rPr>
        <w:t xml:space="preserve">1.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уражена гілка</w:t>
      </w:r>
      <w:r w:rsidR="008C79CF" w:rsidRPr="00891C19">
        <w:rPr>
          <w:rFonts w:ascii="Times New Roman" w:hAnsi="Times New Roman"/>
          <w:sz w:val="24"/>
          <w:szCs w:val="20"/>
        </w:rPr>
        <w:t xml:space="preserve">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2.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уражений плід</w:t>
      </w:r>
      <w:r w:rsidR="008C79CF" w:rsidRPr="00891C19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>2.</w:t>
      </w:r>
      <w:r w:rsidR="008C79CF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уражений листок</w:t>
      </w:r>
      <w:r w:rsidRPr="00891C19">
        <w:rPr>
          <w:rFonts w:ascii="Times New Roman" w:hAnsi="Times New Roman"/>
          <w:sz w:val="24"/>
          <w:szCs w:val="20"/>
        </w:rPr>
        <w:tab/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3.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уражена гілка груші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</w:t>
      </w:r>
      <w:r w:rsidR="008C79CF">
        <w:rPr>
          <w:rFonts w:ascii="Times New Roman" w:hAnsi="Times New Roman"/>
          <w:sz w:val="24"/>
          <w:szCs w:val="20"/>
          <w:lang w:val="uk-UA"/>
        </w:rPr>
        <w:t xml:space="preserve">      </w:t>
      </w:r>
      <w:r w:rsidRPr="00891C19">
        <w:rPr>
          <w:rFonts w:ascii="Times New Roman" w:hAnsi="Times New Roman"/>
          <w:sz w:val="24"/>
          <w:szCs w:val="20"/>
        </w:rPr>
        <w:t xml:space="preserve">3.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уражений плід</w:t>
      </w:r>
      <w:r w:rsidR="008C79CF" w:rsidRPr="00891C19">
        <w:rPr>
          <w:rFonts w:ascii="Times New Roman" w:hAnsi="Times New Roman"/>
          <w:sz w:val="24"/>
          <w:szCs w:val="20"/>
        </w:rPr>
        <w:t xml:space="preserve"> </w:t>
      </w:r>
    </w:p>
    <w:p w:rsidR="00EB7AFA" w:rsidRPr="00615AD4" w:rsidRDefault="0042252B" w:rsidP="00615AD4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</w:t>
      </w:r>
      <w:r w:rsidR="008C79CF">
        <w:rPr>
          <w:rFonts w:ascii="Times New Roman" w:hAnsi="Times New Roman"/>
          <w:sz w:val="24"/>
          <w:szCs w:val="20"/>
          <w:lang w:val="uk-UA"/>
        </w:rPr>
        <w:t xml:space="preserve">                           </w:t>
      </w:r>
      <w:r w:rsidRPr="00891C19">
        <w:rPr>
          <w:rFonts w:ascii="Times New Roman" w:hAnsi="Times New Roman"/>
          <w:sz w:val="24"/>
          <w:szCs w:val="20"/>
        </w:rPr>
        <w:t xml:space="preserve">4. </w:t>
      </w:r>
      <w:proofErr w:type="spellStart"/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пікніда</w:t>
      </w:r>
      <w:proofErr w:type="spellEnd"/>
      <w:r w:rsidR="008C79CF" w:rsidRPr="00615AD4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8C79CF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і спори гриба</w:t>
      </w:r>
      <w:r w:rsidR="008C79CF" w:rsidRPr="00891C19">
        <w:rPr>
          <w:rFonts w:ascii="Times New Roman" w:hAnsi="Times New Roman"/>
          <w:sz w:val="24"/>
          <w:szCs w:val="20"/>
        </w:rPr>
        <w:t xml:space="preserve"> 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  <w:lang w:val="uk-UA" w:eastAsia="uk-UA"/>
        </w:rPr>
        <w:drawing>
          <wp:inline distT="0" distB="0" distL="0" distR="0">
            <wp:extent cx="2466975" cy="2254969"/>
            <wp:effectExtent l="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830" cy="2257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</w:t>
      </w: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  <w:lang w:val="uk-UA" w:eastAsia="uk-UA"/>
        </w:rPr>
        <w:drawing>
          <wp:inline distT="0" distB="0" distL="0" distR="0">
            <wp:extent cx="2438400" cy="2197993"/>
            <wp:effectExtent l="0" t="0" r="0" b="0"/>
            <wp:docPr id="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88" cy="2204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bCs/>
          <w:sz w:val="24"/>
          <w:szCs w:val="20"/>
        </w:rPr>
        <w:t xml:space="preserve">                        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0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1</w:t>
      </w:r>
    </w:p>
    <w:p w:rsidR="00EB7AFA" w:rsidRPr="00615AD4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proofErr w:type="spellStart"/>
      <w:r w:rsidR="00615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</w:t>
      </w:r>
      <w:r w:rsidR="00615AD4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оніліоз</w:t>
      </w:r>
      <w:proofErr w:type="spellEnd"/>
      <w:r w:rsidR="00615AD4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кісточкових</w:t>
      </w:r>
      <w:r w:rsidR="00615AD4" w:rsidRPr="00615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15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proofErr w:type="spellStart"/>
      <w:r w:rsidR="00615AD4" w:rsidRPr="00615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</w:t>
      </w:r>
      <w:r w:rsidR="00615AD4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оккомікоз</w:t>
      </w:r>
      <w:proofErr w:type="spellEnd"/>
      <w:r w:rsidR="00615AD4" w:rsidRPr="008C79C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вишні</w:t>
      </w:r>
    </w:p>
    <w:p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proofErr w:type="spellStart"/>
      <w:r w:rsidR="00615AD4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моніліальний</w:t>
      </w:r>
      <w:proofErr w:type="spellEnd"/>
      <w:r w:rsidR="00615AD4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опік квіток</w:t>
      </w:r>
      <w:r w:rsidR="00615AD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1. </w:t>
      </w:r>
      <w:r w:rsidR="00615AD4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уражені листки</w:t>
      </w:r>
      <w:r w:rsidR="00615AD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 w:rsidRPr="00EB7AFA">
        <w:rPr>
          <w:rFonts w:ascii="Times New Roman" w:eastAsia="Times New Roman" w:hAnsi="Times New Roman" w:cs="Times New Roman"/>
          <w:sz w:val="24"/>
          <w:szCs w:val="20"/>
        </w:rPr>
        <w:t>2.</w:t>
      </w:r>
      <w:r w:rsidR="00615AD4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615AD4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гниль плодів сливи</w:t>
      </w:r>
      <w:r w:rsidR="00615AD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615AD4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2. </w:t>
      </w:r>
      <w:r w:rsidR="00615AD4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уражені плоди</w:t>
      </w:r>
    </w:p>
    <w:p w:rsidR="00EB7AFA" w:rsidRDefault="00615AD4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3.</w:t>
      </w:r>
      <w:proofErr w:type="spellStart"/>
      <w:r w:rsidRPr="00615AD4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спороно</w:t>
      </w:r>
      <w:r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шення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EB7AFA">
        <w:rPr>
          <w:rFonts w:ascii="Times New Roman" w:eastAsia="Times New Roman" w:hAnsi="Times New Roman" w:cs="Times New Roman"/>
          <w:sz w:val="24"/>
          <w:szCs w:val="20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     </w:t>
      </w:r>
      <w:r w:rsidR="00EB7AFA">
        <w:rPr>
          <w:rFonts w:ascii="Times New Roman" w:eastAsia="Times New Roman" w:hAnsi="Times New Roman" w:cs="Times New Roman"/>
          <w:sz w:val="24"/>
          <w:szCs w:val="20"/>
        </w:rPr>
        <w:t xml:space="preserve"> 3.</w:t>
      </w:r>
      <w:r w:rsidRPr="00615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пікніда</w:t>
      </w:r>
      <w:proofErr w:type="spellEnd"/>
      <w:r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з пікноспорами</w:t>
      </w:r>
    </w:p>
    <w:p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</w:t>
      </w:r>
      <w:r w:rsidR="00615AD4">
        <w:rPr>
          <w:rFonts w:ascii="Times New Roman" w:eastAsia="Times New Roman" w:hAnsi="Times New Roman" w:cs="Times New Roman"/>
          <w:sz w:val="24"/>
          <w:szCs w:val="20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4. </w:t>
      </w:r>
      <w:r w:rsidR="00615AD4" w:rsidRPr="008C79CF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апотецій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bookmarkStart w:id="0" w:name="_GoBack"/>
      <w:bookmarkEnd w:id="0"/>
    </w:p>
    <w:p w:rsidR="008C79CF" w:rsidRPr="008C79CF" w:rsidRDefault="0042252B" w:rsidP="008C79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8C79CF">
        <w:rPr>
          <w:rFonts w:ascii="Times New Roman" w:eastAsia="Times New Roman" w:hAnsi="Times New Roman" w:cs="Times New Roman"/>
          <w:b/>
          <w:sz w:val="24"/>
          <w:szCs w:val="24"/>
        </w:rPr>
        <w:t>Висновки</w:t>
      </w:r>
      <w:proofErr w:type="spellEnd"/>
    </w:p>
    <w:p w:rsidR="0042252B" w:rsidRPr="008C79CF" w:rsidRDefault="008C79CF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8C79CF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8C79CF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8C79C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8C79CF">
        <w:rPr>
          <w:rFonts w:ascii="Times New Roman" w:hAnsi="Times New Roman" w:cs="Times New Roman"/>
          <w:sz w:val="24"/>
          <w:szCs w:val="24"/>
        </w:rPr>
        <w:t xml:space="preserve"> лабораторного заняття було детально вивчено видовий склад основних збудників </w:t>
      </w:r>
      <w:proofErr w:type="spellStart"/>
      <w:r w:rsidRPr="008C79CF">
        <w:rPr>
          <w:rFonts w:ascii="Times New Roman" w:hAnsi="Times New Roman" w:cs="Times New Roman"/>
          <w:bCs/>
          <w:sz w:val="24"/>
          <w:szCs w:val="24"/>
        </w:rPr>
        <w:t>хвороб</w:t>
      </w:r>
      <w:proofErr w:type="spellEnd"/>
      <w:r w:rsidRPr="008C79CF">
        <w:rPr>
          <w:rFonts w:ascii="Times New Roman" w:hAnsi="Times New Roman" w:cs="Times New Roman"/>
          <w:bCs/>
          <w:sz w:val="24"/>
          <w:szCs w:val="24"/>
        </w:rPr>
        <w:t xml:space="preserve"> плодових культур</w:t>
      </w:r>
      <w:r w:rsidRPr="008C79CF">
        <w:rPr>
          <w:rFonts w:ascii="Times New Roman" w:hAnsi="Times New Roman" w:cs="Times New Roman"/>
          <w:sz w:val="24"/>
          <w:szCs w:val="24"/>
        </w:rPr>
        <w:t xml:space="preserve">, зокрема яблуні, та проаналізовано ключові етапи їхнього життєвого циклу. На основі отриманих даних та опрацьованого матеріалу було розроблено </w:t>
      </w:r>
      <w:r w:rsidRPr="008C79CF">
        <w:rPr>
          <w:rFonts w:ascii="Times New Roman" w:hAnsi="Times New Roman" w:cs="Times New Roman"/>
          <w:bCs/>
          <w:sz w:val="24"/>
          <w:szCs w:val="24"/>
        </w:rPr>
        <w:t>інтегровану систему захисту яблуні</w:t>
      </w:r>
      <w:r w:rsidRPr="008C79CF">
        <w:rPr>
          <w:rFonts w:ascii="Times New Roman" w:hAnsi="Times New Roman" w:cs="Times New Roman"/>
          <w:sz w:val="24"/>
          <w:szCs w:val="24"/>
        </w:rPr>
        <w:t>, що дозволяє зробити такі підсумки:</w:t>
      </w:r>
      <w:r w:rsidRPr="008C79CF">
        <w:rPr>
          <w:rFonts w:ascii="Times New Roman" w:hAnsi="Times New Roman" w:cs="Times New Roman"/>
          <w:bCs/>
          <w:sz w:val="24"/>
          <w:szCs w:val="24"/>
        </w:rPr>
        <w:t xml:space="preserve"> д</w:t>
      </w:r>
      <w:r w:rsidRPr="008C79CF">
        <w:rPr>
          <w:rFonts w:ascii="Times New Roman" w:hAnsi="Times New Roman" w:cs="Times New Roman"/>
          <w:bCs/>
          <w:sz w:val="24"/>
          <w:szCs w:val="24"/>
        </w:rPr>
        <w:t>іагностика та моніторинг</w:t>
      </w:r>
      <w:r w:rsidRPr="008C79CF">
        <w:rPr>
          <w:rFonts w:ascii="Times New Roman" w:hAnsi="Times New Roman" w:cs="Times New Roman"/>
          <w:bCs/>
          <w:sz w:val="24"/>
          <w:szCs w:val="24"/>
        </w:rPr>
        <w:t>, к</w:t>
      </w:r>
      <w:r w:rsidRPr="008C79CF">
        <w:rPr>
          <w:rFonts w:ascii="Times New Roman" w:hAnsi="Times New Roman" w:cs="Times New Roman"/>
          <w:bCs/>
          <w:sz w:val="24"/>
          <w:szCs w:val="24"/>
        </w:rPr>
        <w:t>омплексність підходу</w:t>
      </w:r>
      <w:r w:rsidRPr="008C79CF">
        <w:rPr>
          <w:rFonts w:ascii="Times New Roman" w:hAnsi="Times New Roman" w:cs="Times New Roman"/>
          <w:bCs/>
          <w:sz w:val="24"/>
          <w:szCs w:val="24"/>
        </w:rPr>
        <w:t>, е</w:t>
      </w:r>
      <w:r w:rsidRPr="008C79CF">
        <w:rPr>
          <w:rFonts w:ascii="Times New Roman" w:hAnsi="Times New Roman" w:cs="Times New Roman"/>
          <w:bCs/>
          <w:sz w:val="24"/>
          <w:szCs w:val="24"/>
        </w:rPr>
        <w:t xml:space="preserve">кономічна та </w:t>
      </w:r>
      <w:proofErr w:type="spellStart"/>
      <w:r w:rsidRPr="008C79CF">
        <w:rPr>
          <w:rFonts w:ascii="Times New Roman" w:hAnsi="Times New Roman" w:cs="Times New Roman"/>
          <w:bCs/>
          <w:sz w:val="24"/>
          <w:szCs w:val="24"/>
        </w:rPr>
        <w:t>екологічна</w:t>
      </w:r>
      <w:proofErr w:type="spellEnd"/>
      <w:r w:rsidRPr="008C79C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C79CF">
        <w:rPr>
          <w:rFonts w:ascii="Times New Roman" w:hAnsi="Times New Roman" w:cs="Times New Roman"/>
          <w:bCs/>
          <w:sz w:val="24"/>
          <w:szCs w:val="24"/>
        </w:rPr>
        <w:t>доцільність</w:t>
      </w:r>
      <w:proofErr w:type="spellEnd"/>
      <w:r w:rsidRPr="008C79CF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8C79CF">
        <w:rPr>
          <w:rFonts w:ascii="Times New Roman" w:hAnsi="Times New Roman" w:cs="Times New Roman"/>
          <w:bCs/>
          <w:sz w:val="24"/>
          <w:szCs w:val="24"/>
        </w:rPr>
        <w:t>с</w:t>
      </w:r>
      <w:r w:rsidRPr="008C79CF">
        <w:rPr>
          <w:rFonts w:ascii="Times New Roman" w:hAnsi="Times New Roman" w:cs="Times New Roman"/>
          <w:bCs/>
          <w:sz w:val="24"/>
          <w:szCs w:val="24"/>
        </w:rPr>
        <w:t>езонність</w:t>
      </w:r>
      <w:proofErr w:type="spellEnd"/>
      <w:r w:rsidRPr="008C79CF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42252B" w:rsidRPr="008C79CF" w:rsidSect="00422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15D86"/>
    <w:multiLevelType w:val="multilevel"/>
    <w:tmpl w:val="5A04C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2252B"/>
    <w:rsid w:val="000911DE"/>
    <w:rsid w:val="000B1484"/>
    <w:rsid w:val="00190774"/>
    <w:rsid w:val="001967B7"/>
    <w:rsid w:val="003C0CBF"/>
    <w:rsid w:val="0042252B"/>
    <w:rsid w:val="00511A00"/>
    <w:rsid w:val="00551DF4"/>
    <w:rsid w:val="00615AD4"/>
    <w:rsid w:val="00643E65"/>
    <w:rsid w:val="006F791C"/>
    <w:rsid w:val="00787DA3"/>
    <w:rsid w:val="008C743E"/>
    <w:rsid w:val="008C79CF"/>
    <w:rsid w:val="0094537B"/>
    <w:rsid w:val="009E0D9D"/>
    <w:rsid w:val="00A429C9"/>
    <w:rsid w:val="00BE4BA9"/>
    <w:rsid w:val="00C652BE"/>
    <w:rsid w:val="00E002C3"/>
    <w:rsid w:val="00EB7AFA"/>
    <w:rsid w:val="00F9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0CB78"/>
  <w15:docId w15:val="{8D0DB979-8F24-45AA-88D6-E9CFEA95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87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8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7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8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0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2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4295</Words>
  <Characters>2449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11</cp:revision>
  <dcterms:created xsi:type="dcterms:W3CDTF">2023-03-05T12:10:00Z</dcterms:created>
  <dcterms:modified xsi:type="dcterms:W3CDTF">2026-03-25T04:54:00Z</dcterms:modified>
</cp:coreProperties>
</file>