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09F1" w:rsidRDefault="002609F1" w:rsidP="002609F1">
      <w:pPr>
        <w:pStyle w:val="3"/>
        <w:spacing w:before="60"/>
        <w:ind w:left="237" w:right="233"/>
      </w:pPr>
      <w:r>
        <w:t>Тема</w:t>
      </w:r>
      <w:r>
        <w:rPr>
          <w:spacing w:val="-4"/>
        </w:rPr>
        <w:t xml:space="preserve"> </w:t>
      </w:r>
      <w:r>
        <w:t>1.</w:t>
      </w:r>
      <w:r>
        <w:rPr>
          <w:spacing w:val="1"/>
        </w:rPr>
        <w:t xml:space="preserve"> </w:t>
      </w:r>
      <w:r>
        <w:rPr>
          <w:spacing w:val="-2"/>
        </w:rPr>
        <w:t>Осадження</w:t>
      </w:r>
    </w:p>
    <w:p w:rsidR="002609F1" w:rsidRDefault="002609F1" w:rsidP="002609F1">
      <w:pPr>
        <w:pStyle w:val="a3"/>
        <w:spacing w:before="59" w:after="15"/>
        <w:ind w:left="237" w:right="238" w:firstLine="0"/>
        <w:jc w:val="center"/>
      </w:pPr>
      <w:r>
        <w:rPr>
          <w:spacing w:val="-4"/>
        </w:rPr>
        <w:t>План</w:t>
      </w:r>
    </w:p>
    <w:tbl>
      <w:tblPr>
        <w:tblStyle w:val="TableNormal"/>
        <w:tblW w:w="0" w:type="auto"/>
        <w:tblInd w:w="209" w:type="dxa"/>
        <w:tblLayout w:type="fixed"/>
        <w:tblLook w:val="01E0" w:firstRow="1" w:lastRow="1" w:firstColumn="1" w:lastColumn="1" w:noHBand="0" w:noVBand="0"/>
      </w:tblPr>
      <w:tblGrid>
        <w:gridCol w:w="456"/>
        <w:gridCol w:w="5180"/>
      </w:tblGrid>
      <w:tr w:rsidR="002609F1" w:rsidTr="002609F1">
        <w:trPr>
          <w:trHeight w:val="362"/>
        </w:trPr>
        <w:tc>
          <w:tcPr>
            <w:tcW w:w="456" w:type="dxa"/>
            <w:hideMark/>
          </w:tcPr>
          <w:p w:rsidR="002609F1" w:rsidRDefault="002609F1">
            <w:pPr>
              <w:pStyle w:val="TableParagraph"/>
              <w:spacing w:line="343" w:lineRule="exact"/>
              <w:ind w:right="109"/>
              <w:jc w:val="center"/>
              <w:rPr>
                <w:sz w:val="32"/>
              </w:rPr>
            </w:pPr>
            <w:r>
              <w:rPr>
                <w:spacing w:val="-5"/>
                <w:sz w:val="32"/>
              </w:rPr>
              <w:t>1.</w:t>
            </w:r>
          </w:p>
        </w:tc>
        <w:tc>
          <w:tcPr>
            <w:tcW w:w="5180" w:type="dxa"/>
            <w:hideMark/>
          </w:tcPr>
          <w:p w:rsidR="002609F1" w:rsidRDefault="002609F1">
            <w:pPr>
              <w:pStyle w:val="TableParagraph"/>
              <w:spacing w:line="343" w:lineRule="exact"/>
              <w:ind w:left="160"/>
              <w:rPr>
                <w:sz w:val="32"/>
              </w:rPr>
            </w:pPr>
            <w:proofErr w:type="spellStart"/>
            <w:r>
              <w:rPr>
                <w:sz w:val="32"/>
              </w:rPr>
              <w:t>Гравітаційне</w:t>
            </w:r>
            <w:proofErr w:type="spellEnd"/>
            <w:r>
              <w:rPr>
                <w:spacing w:val="-14"/>
                <w:sz w:val="32"/>
              </w:rPr>
              <w:t xml:space="preserve"> </w:t>
            </w:r>
            <w:proofErr w:type="spellStart"/>
            <w:r>
              <w:rPr>
                <w:spacing w:val="-2"/>
                <w:sz w:val="32"/>
              </w:rPr>
              <w:t>осідання</w:t>
            </w:r>
            <w:proofErr w:type="spellEnd"/>
          </w:p>
        </w:tc>
      </w:tr>
      <w:tr w:rsidR="002609F1" w:rsidTr="002609F1">
        <w:trPr>
          <w:trHeight w:val="367"/>
        </w:trPr>
        <w:tc>
          <w:tcPr>
            <w:tcW w:w="456" w:type="dxa"/>
            <w:hideMark/>
          </w:tcPr>
          <w:p w:rsidR="002609F1" w:rsidRDefault="002609F1">
            <w:pPr>
              <w:pStyle w:val="TableParagraph"/>
              <w:spacing w:line="347" w:lineRule="exact"/>
              <w:ind w:right="109"/>
              <w:jc w:val="center"/>
              <w:rPr>
                <w:sz w:val="32"/>
              </w:rPr>
            </w:pPr>
            <w:r>
              <w:rPr>
                <w:spacing w:val="-5"/>
                <w:sz w:val="32"/>
              </w:rPr>
              <w:t>2.</w:t>
            </w:r>
          </w:p>
        </w:tc>
        <w:tc>
          <w:tcPr>
            <w:tcW w:w="5180" w:type="dxa"/>
            <w:hideMark/>
          </w:tcPr>
          <w:p w:rsidR="002609F1" w:rsidRPr="002609F1" w:rsidRDefault="002609F1">
            <w:pPr>
              <w:pStyle w:val="TableParagraph"/>
              <w:spacing w:line="347" w:lineRule="exact"/>
              <w:ind w:left="160"/>
              <w:rPr>
                <w:sz w:val="32"/>
                <w:lang w:val="ru-RU"/>
              </w:rPr>
            </w:pPr>
            <w:r w:rsidRPr="002609F1">
              <w:rPr>
                <w:sz w:val="32"/>
                <w:lang w:val="ru-RU"/>
              </w:rPr>
              <w:t>Осадження</w:t>
            </w:r>
            <w:r w:rsidRPr="002609F1">
              <w:rPr>
                <w:spacing w:val="-10"/>
                <w:sz w:val="32"/>
                <w:lang w:val="ru-RU"/>
              </w:rPr>
              <w:t xml:space="preserve"> </w:t>
            </w:r>
            <w:r w:rsidRPr="002609F1">
              <w:rPr>
                <w:sz w:val="32"/>
                <w:lang w:val="ru-RU"/>
              </w:rPr>
              <w:t>в</w:t>
            </w:r>
            <w:r w:rsidRPr="002609F1">
              <w:rPr>
                <w:spacing w:val="-8"/>
                <w:sz w:val="32"/>
                <w:lang w:val="ru-RU"/>
              </w:rPr>
              <w:t xml:space="preserve"> </w:t>
            </w:r>
            <w:r w:rsidRPr="002609F1">
              <w:rPr>
                <w:sz w:val="32"/>
                <w:lang w:val="ru-RU"/>
              </w:rPr>
              <w:t>полі</w:t>
            </w:r>
            <w:r w:rsidRPr="002609F1">
              <w:rPr>
                <w:spacing w:val="-4"/>
                <w:sz w:val="32"/>
                <w:lang w:val="ru-RU"/>
              </w:rPr>
              <w:t xml:space="preserve"> </w:t>
            </w:r>
            <w:r w:rsidRPr="002609F1">
              <w:rPr>
                <w:sz w:val="32"/>
                <w:lang w:val="ru-RU"/>
              </w:rPr>
              <w:t>відцентрової</w:t>
            </w:r>
            <w:r w:rsidRPr="002609F1">
              <w:rPr>
                <w:spacing w:val="-8"/>
                <w:sz w:val="32"/>
                <w:lang w:val="ru-RU"/>
              </w:rPr>
              <w:t xml:space="preserve"> </w:t>
            </w:r>
            <w:r w:rsidRPr="002609F1">
              <w:rPr>
                <w:spacing w:val="-4"/>
                <w:sz w:val="32"/>
                <w:lang w:val="ru-RU"/>
              </w:rPr>
              <w:t>сили</w:t>
            </w:r>
          </w:p>
        </w:tc>
      </w:tr>
      <w:tr w:rsidR="002609F1" w:rsidTr="002609F1">
        <w:trPr>
          <w:trHeight w:val="389"/>
        </w:trPr>
        <w:tc>
          <w:tcPr>
            <w:tcW w:w="456" w:type="dxa"/>
            <w:hideMark/>
          </w:tcPr>
          <w:p w:rsidR="002609F1" w:rsidRDefault="002609F1">
            <w:pPr>
              <w:pStyle w:val="TableParagraph"/>
              <w:spacing w:before="21" w:line="348" w:lineRule="exact"/>
              <w:ind w:right="109"/>
              <w:jc w:val="center"/>
              <w:rPr>
                <w:sz w:val="32"/>
              </w:rPr>
            </w:pPr>
            <w:r>
              <w:rPr>
                <w:spacing w:val="-5"/>
                <w:sz w:val="32"/>
              </w:rPr>
              <w:t>3.</w:t>
            </w:r>
          </w:p>
        </w:tc>
        <w:tc>
          <w:tcPr>
            <w:tcW w:w="5180" w:type="dxa"/>
            <w:hideMark/>
          </w:tcPr>
          <w:p w:rsidR="002609F1" w:rsidRDefault="002609F1">
            <w:pPr>
              <w:pStyle w:val="TableParagraph"/>
              <w:spacing w:line="360" w:lineRule="exact"/>
              <w:ind w:left="160"/>
              <w:rPr>
                <w:sz w:val="32"/>
              </w:rPr>
            </w:pPr>
            <w:proofErr w:type="spellStart"/>
            <w:r>
              <w:rPr>
                <w:sz w:val="32"/>
              </w:rPr>
              <w:t>Осадження</w:t>
            </w:r>
            <w:proofErr w:type="spellEnd"/>
            <w:r>
              <w:rPr>
                <w:spacing w:val="-12"/>
                <w:sz w:val="32"/>
              </w:rPr>
              <w:t xml:space="preserve"> </w:t>
            </w:r>
            <w:r>
              <w:rPr>
                <w:sz w:val="32"/>
              </w:rPr>
              <w:t>в</w:t>
            </w:r>
            <w:r>
              <w:rPr>
                <w:spacing w:val="-7"/>
                <w:sz w:val="32"/>
              </w:rPr>
              <w:t xml:space="preserve"> </w:t>
            </w:r>
            <w:proofErr w:type="spellStart"/>
            <w:r>
              <w:rPr>
                <w:sz w:val="32"/>
              </w:rPr>
              <w:t>електричному</w:t>
            </w:r>
            <w:proofErr w:type="spellEnd"/>
            <w:r>
              <w:rPr>
                <w:spacing w:val="-13"/>
                <w:sz w:val="32"/>
              </w:rPr>
              <w:t xml:space="preserve"> </w:t>
            </w:r>
            <w:proofErr w:type="spellStart"/>
            <w:r>
              <w:rPr>
                <w:spacing w:val="-4"/>
                <w:sz w:val="32"/>
              </w:rPr>
              <w:t>полі</w:t>
            </w:r>
            <w:proofErr w:type="spellEnd"/>
          </w:p>
        </w:tc>
      </w:tr>
    </w:tbl>
    <w:p w:rsidR="002609F1" w:rsidRDefault="002609F1" w:rsidP="002609F1">
      <w:pPr>
        <w:pStyle w:val="a5"/>
        <w:numPr>
          <w:ilvl w:val="0"/>
          <w:numId w:val="1"/>
        </w:numPr>
        <w:tabs>
          <w:tab w:val="left" w:pos="467"/>
        </w:tabs>
        <w:spacing w:before="31"/>
        <w:ind w:left="467" w:hanging="325"/>
        <w:rPr>
          <w:i/>
          <w:sz w:val="32"/>
        </w:rPr>
      </w:pPr>
      <w:r>
        <w:rPr>
          <w:i/>
          <w:spacing w:val="-2"/>
          <w:sz w:val="32"/>
        </w:rPr>
        <w:t>Гравітаційне</w:t>
      </w:r>
      <w:r>
        <w:rPr>
          <w:i/>
          <w:spacing w:val="2"/>
          <w:sz w:val="32"/>
        </w:rPr>
        <w:t xml:space="preserve"> </w:t>
      </w:r>
      <w:r>
        <w:rPr>
          <w:i/>
          <w:spacing w:val="-2"/>
          <w:sz w:val="32"/>
        </w:rPr>
        <w:t>осідання.</w:t>
      </w:r>
    </w:p>
    <w:p w:rsidR="002609F1" w:rsidRDefault="002609F1" w:rsidP="002609F1">
      <w:pPr>
        <w:pStyle w:val="a3"/>
        <w:spacing w:before="2"/>
        <w:ind w:right="138"/>
      </w:pPr>
      <w:r>
        <w:t>Необхідною умовою процесу осадження в полі гравітаційних і відцентрових сил є різниця густин дисперсної фази і дисперсійного середовища, в електричному полі – різниця реакцій елементів газової неоднорідної системи на нього. під час осадження неоднорідна система розділяється на продукти, що різняться концентрацією дисперсної фази. Залежно від конструкції апарата ці продукти тим чи іншим способом відокремлюються один від одного.</w:t>
      </w:r>
    </w:p>
    <w:p w:rsidR="002609F1" w:rsidRDefault="002609F1" w:rsidP="002609F1">
      <w:pPr>
        <w:spacing w:before="3"/>
        <w:ind w:left="142" w:right="135" w:firstLine="566"/>
        <w:jc w:val="both"/>
        <w:rPr>
          <w:sz w:val="32"/>
        </w:rPr>
      </w:pPr>
      <w:r>
        <w:rPr>
          <w:sz w:val="32"/>
        </w:rPr>
        <w:t xml:space="preserve">Процес осадження під дією сил тяжіння називають </w:t>
      </w:r>
      <w:r>
        <w:rPr>
          <w:i/>
          <w:sz w:val="32"/>
        </w:rPr>
        <w:t xml:space="preserve">гравітаційним осіданням </w:t>
      </w:r>
      <w:r>
        <w:rPr>
          <w:sz w:val="32"/>
        </w:rPr>
        <w:t xml:space="preserve">або </w:t>
      </w:r>
      <w:r>
        <w:rPr>
          <w:i/>
          <w:sz w:val="32"/>
        </w:rPr>
        <w:t>відстоюванням</w:t>
      </w:r>
      <w:r>
        <w:rPr>
          <w:sz w:val="32"/>
        </w:rPr>
        <w:t xml:space="preserve">, а швидкість процесу – </w:t>
      </w:r>
      <w:r>
        <w:rPr>
          <w:i/>
          <w:sz w:val="32"/>
        </w:rPr>
        <w:t>швидкістю</w:t>
      </w:r>
      <w:r>
        <w:rPr>
          <w:i/>
          <w:spacing w:val="80"/>
          <w:sz w:val="32"/>
        </w:rPr>
        <w:t xml:space="preserve"> </w:t>
      </w:r>
      <w:r>
        <w:rPr>
          <w:i/>
          <w:sz w:val="32"/>
        </w:rPr>
        <w:t xml:space="preserve">осідання </w:t>
      </w:r>
      <w:r>
        <w:rPr>
          <w:sz w:val="32"/>
        </w:rPr>
        <w:t>(</w:t>
      </w:r>
      <w:r>
        <w:rPr>
          <w:i/>
          <w:sz w:val="32"/>
        </w:rPr>
        <w:t>відстоювання</w:t>
      </w:r>
      <w:r>
        <w:rPr>
          <w:sz w:val="32"/>
        </w:rPr>
        <w:t>).</w:t>
      </w:r>
    </w:p>
    <w:p w:rsidR="002609F1" w:rsidRDefault="002609F1" w:rsidP="002609F1">
      <w:pPr>
        <w:pStyle w:val="a3"/>
        <w:ind w:right="132"/>
      </w:pPr>
      <w:r>
        <w:t>У харчовій промисловості процес осадження використовують досить широко: у виробництві цукру – для очищення води після миття буряків, для освітлення цукрових розчинів; у виробництві пива – для освітлення пивного сусла; у виробництві крохмалю – для виділення крохмалю з крохмального молока. За допомогою відцентрового осадження</w:t>
      </w:r>
      <w:r>
        <w:rPr>
          <w:spacing w:val="40"/>
        </w:rPr>
        <w:t xml:space="preserve"> </w:t>
      </w:r>
      <w:r>
        <w:t>розділяють молоко, одержують концентрати дріжджів, уловлюють цукровий і дріжджовий пил після сушки.</w:t>
      </w:r>
    </w:p>
    <w:p w:rsidR="002609F1" w:rsidRDefault="002609F1" w:rsidP="002609F1">
      <w:pPr>
        <w:pStyle w:val="a3"/>
        <w:ind w:right="139"/>
      </w:pPr>
      <w:r>
        <w:t xml:space="preserve">Процес гравітаційного осідання здійснюється в спеціальних апаратах – відстійниках. У техніці використовують відстійники періодичної, </w:t>
      </w:r>
      <w:proofErr w:type="spellStart"/>
      <w:r>
        <w:t>напівбезперервної</w:t>
      </w:r>
      <w:proofErr w:type="spellEnd"/>
      <w:r>
        <w:t xml:space="preserve"> та безперервної дії.</w:t>
      </w:r>
    </w:p>
    <w:p w:rsidR="002609F1" w:rsidRDefault="002609F1" w:rsidP="002609F1">
      <w:pPr>
        <w:pStyle w:val="a3"/>
        <w:ind w:right="142"/>
      </w:pPr>
      <w:r>
        <w:rPr>
          <w:i/>
        </w:rPr>
        <w:t>Розрахунок відстійників</w:t>
      </w:r>
      <w:r>
        <w:t>. Відстійники проектують у розрахунку на осідання найдрібніших частинок, що містяться в суспензії. Тому тривалість перебування суспензії в апараті має бути більша за час, потрібний для осідання частинки найменшого розміру на дно апарата з відповідної висоти (</w:t>
      </w:r>
      <w:r>
        <w:rPr>
          <w:rFonts w:ascii="Symbol" w:hAnsi="Symbol"/>
          <w:sz w:val="25"/>
        </w:rPr>
        <w:t></w:t>
      </w:r>
      <w:r>
        <w:rPr>
          <w:spacing w:val="-20"/>
          <w:sz w:val="25"/>
        </w:rPr>
        <w:t xml:space="preserve"> </w:t>
      </w:r>
      <w:r>
        <w:rPr>
          <w:i/>
          <w:sz w:val="25"/>
          <w:vertAlign w:val="subscript"/>
        </w:rPr>
        <w:t>п</w:t>
      </w:r>
      <w:r>
        <w:rPr>
          <w:i/>
          <w:spacing w:val="40"/>
          <w:sz w:val="25"/>
        </w:rPr>
        <w:t xml:space="preserve"> </w:t>
      </w:r>
      <w:r>
        <w:rPr>
          <w:rFonts w:ascii="Symbol" w:hAnsi="Symbol"/>
          <w:sz w:val="24"/>
        </w:rPr>
        <w:t></w:t>
      </w:r>
      <w:r>
        <w:rPr>
          <w:spacing w:val="-17"/>
          <w:sz w:val="24"/>
        </w:rPr>
        <w:t xml:space="preserve"> </w:t>
      </w:r>
      <w:r>
        <w:rPr>
          <w:rFonts w:ascii="Symbol" w:hAnsi="Symbol"/>
          <w:sz w:val="25"/>
        </w:rPr>
        <w:t></w:t>
      </w:r>
      <w:r>
        <w:rPr>
          <w:spacing w:val="-22"/>
          <w:sz w:val="25"/>
        </w:rPr>
        <w:t xml:space="preserve"> </w:t>
      </w:r>
      <w:r>
        <w:rPr>
          <w:i/>
          <w:sz w:val="25"/>
          <w:vertAlign w:val="subscript"/>
        </w:rPr>
        <w:t>о</w:t>
      </w:r>
      <w:r>
        <w:rPr>
          <w:i/>
          <w:sz w:val="25"/>
        </w:rPr>
        <w:t xml:space="preserve"> </w:t>
      </w:r>
      <w:r>
        <w:t>).</w:t>
      </w:r>
    </w:p>
    <w:p w:rsidR="002609F1" w:rsidRDefault="002609F1" w:rsidP="002609F1">
      <w:pPr>
        <w:pStyle w:val="a3"/>
        <w:spacing w:before="39"/>
        <w:ind w:right="141"/>
      </w:pPr>
      <w:r>
        <w:t xml:space="preserve">Розглянемо відстійник періодичної дії (рис. 1)з площею поперечного перерізу </w:t>
      </w:r>
      <w:r>
        <w:rPr>
          <w:i/>
        </w:rPr>
        <w:t>F</w:t>
      </w:r>
      <w:r>
        <w:t xml:space="preserve">. За час </w:t>
      </w:r>
      <w:r>
        <w:rPr>
          <w:rFonts w:ascii="Symbol" w:hAnsi="Symbol"/>
          <w:sz w:val="26"/>
        </w:rPr>
        <w:t></w:t>
      </w:r>
      <w:r>
        <w:rPr>
          <w:spacing w:val="40"/>
          <w:sz w:val="26"/>
        </w:rPr>
        <w:t xml:space="preserve"> </w:t>
      </w:r>
      <w:r>
        <w:t xml:space="preserve">частинки пройдуть відстань </w:t>
      </w:r>
      <w:r>
        <w:rPr>
          <w:i/>
        </w:rPr>
        <w:t>h</w:t>
      </w:r>
      <w:r>
        <w:t>. Тоді продуктивність відстійника тобто об'єм освітленої рідини, визначиться з рівняння:</w:t>
      </w:r>
    </w:p>
    <w:p w:rsidR="002609F1" w:rsidRDefault="002609F1" w:rsidP="002609F1">
      <w:pPr>
        <w:tabs>
          <w:tab w:val="left" w:pos="9903"/>
        </w:tabs>
        <w:spacing w:before="5"/>
        <w:ind w:left="4409"/>
        <w:jc w:val="both"/>
        <w:rPr>
          <w:sz w:val="32"/>
        </w:rPr>
      </w:pPr>
      <w:r>
        <w:rPr>
          <w:i/>
          <w:sz w:val="24"/>
        </w:rPr>
        <w:t>V</w:t>
      </w:r>
      <w:r>
        <w:rPr>
          <w:i/>
          <w:spacing w:val="33"/>
          <w:sz w:val="24"/>
        </w:rPr>
        <w:t xml:space="preserve"> </w:t>
      </w:r>
      <w:r>
        <w:rPr>
          <w:rFonts w:ascii="Symbol" w:hAnsi="Symbol"/>
          <w:sz w:val="24"/>
        </w:rPr>
        <w:t></w:t>
      </w:r>
      <w:r>
        <w:rPr>
          <w:spacing w:val="7"/>
          <w:sz w:val="24"/>
        </w:rPr>
        <w:t xml:space="preserve"> </w:t>
      </w:r>
      <w:proofErr w:type="spellStart"/>
      <w:r>
        <w:rPr>
          <w:i/>
          <w:sz w:val="24"/>
        </w:rPr>
        <w:t>Fh</w:t>
      </w:r>
      <w:proofErr w:type="spellEnd"/>
      <w:r>
        <w:rPr>
          <w:i/>
          <w:spacing w:val="-31"/>
          <w:sz w:val="24"/>
        </w:rPr>
        <w:t xml:space="preserve"> </w:t>
      </w:r>
      <w:r>
        <w:rPr>
          <w:sz w:val="24"/>
        </w:rPr>
        <w:t>/</w:t>
      </w:r>
      <w:r>
        <w:rPr>
          <w:rFonts w:ascii="Symbol" w:hAnsi="Symbol"/>
          <w:sz w:val="25"/>
        </w:rPr>
        <w:t></w:t>
      </w:r>
      <w:r>
        <w:rPr>
          <w:spacing w:val="33"/>
          <w:sz w:val="25"/>
        </w:rPr>
        <w:t xml:space="preserve"> </w:t>
      </w:r>
      <w:r>
        <w:rPr>
          <w:rFonts w:ascii="Symbol" w:hAnsi="Symbol"/>
          <w:sz w:val="24"/>
        </w:rPr>
        <w:t></w:t>
      </w:r>
      <w:r>
        <w:rPr>
          <w:spacing w:val="7"/>
          <w:sz w:val="24"/>
        </w:rPr>
        <w:t xml:space="preserve"> </w:t>
      </w:r>
      <w:r>
        <w:rPr>
          <w:i/>
          <w:sz w:val="24"/>
        </w:rPr>
        <w:t>Fw</w:t>
      </w:r>
      <w:r>
        <w:rPr>
          <w:sz w:val="24"/>
          <w:vertAlign w:val="subscript"/>
        </w:rPr>
        <w:t>0</w:t>
      </w:r>
      <w:r>
        <w:rPr>
          <w:spacing w:val="-19"/>
          <w:sz w:val="24"/>
        </w:rPr>
        <w:t xml:space="preserve"> </w:t>
      </w:r>
      <w:r>
        <w:rPr>
          <w:spacing w:val="-10"/>
          <w:sz w:val="32"/>
        </w:rPr>
        <w:t>,</w:t>
      </w:r>
      <w:r>
        <w:rPr>
          <w:sz w:val="32"/>
        </w:rPr>
        <w:tab/>
      </w:r>
      <w:r>
        <w:rPr>
          <w:spacing w:val="-5"/>
          <w:sz w:val="32"/>
        </w:rPr>
        <w:t>(1)</w:t>
      </w:r>
    </w:p>
    <w:p w:rsidR="002609F1" w:rsidRDefault="002609F1" w:rsidP="002609F1">
      <w:pPr>
        <w:pStyle w:val="a3"/>
        <w:spacing w:before="45"/>
        <w:ind w:firstLine="0"/>
      </w:pPr>
      <w:r>
        <w:t>де:</w:t>
      </w:r>
      <w:r>
        <w:rPr>
          <w:spacing w:val="-8"/>
        </w:rPr>
        <w:t xml:space="preserve"> </w:t>
      </w:r>
      <w:r>
        <w:rPr>
          <w:i/>
        </w:rPr>
        <w:t>w</w:t>
      </w:r>
      <w:r>
        <w:rPr>
          <w:i/>
          <w:vertAlign w:val="subscript"/>
        </w:rPr>
        <w:t>0</w:t>
      </w:r>
      <w:r>
        <w:rPr>
          <w:i/>
          <w:spacing w:val="-5"/>
        </w:rPr>
        <w:t xml:space="preserve"> </w:t>
      </w:r>
      <w:r>
        <w:t>–</w:t>
      </w:r>
      <w:r>
        <w:rPr>
          <w:spacing w:val="-7"/>
        </w:rPr>
        <w:t xml:space="preserve"> </w:t>
      </w:r>
      <w:r>
        <w:t>швидкість</w:t>
      </w:r>
      <w:r>
        <w:rPr>
          <w:spacing w:val="-4"/>
        </w:rPr>
        <w:t xml:space="preserve"> </w:t>
      </w:r>
      <w:r>
        <w:t>осідання</w:t>
      </w:r>
      <w:r>
        <w:rPr>
          <w:spacing w:val="-8"/>
        </w:rPr>
        <w:t xml:space="preserve"> </w:t>
      </w:r>
      <w:r>
        <w:t>частинок,</w:t>
      </w:r>
      <w:r>
        <w:rPr>
          <w:spacing w:val="-4"/>
        </w:rPr>
        <w:t xml:space="preserve"> м/с.</w:t>
      </w:r>
    </w:p>
    <w:p w:rsidR="002609F1" w:rsidRDefault="002609F1" w:rsidP="002609F1">
      <w:pPr>
        <w:pStyle w:val="a3"/>
        <w:spacing w:before="2"/>
        <w:ind w:right="135"/>
      </w:pPr>
      <w:r>
        <w:t>Згідно цього рівняння продуктивність відстійника не залежить від його висоти. Тому відстійники мають значну поверхню осідання при невеликій висоті.</w:t>
      </w:r>
    </w:p>
    <w:p w:rsidR="002609F1" w:rsidRDefault="002609F1" w:rsidP="002609F1">
      <w:pPr>
        <w:widowControl/>
        <w:autoSpaceDE/>
        <w:autoSpaceDN/>
        <w:rPr>
          <w:sz w:val="32"/>
          <w:szCs w:val="32"/>
        </w:rPr>
        <w:sectPr w:rsidR="002609F1">
          <w:pgSz w:w="11910" w:h="16840"/>
          <w:pgMar w:top="480" w:right="708" w:bottom="760" w:left="708" w:header="0" w:footer="568" w:gutter="0"/>
          <w:cols w:space="720"/>
        </w:sectPr>
      </w:pPr>
    </w:p>
    <w:p w:rsidR="002609F1" w:rsidRDefault="002609F1" w:rsidP="002609F1">
      <w:pPr>
        <w:ind w:left="2342"/>
        <w:rPr>
          <w:sz w:val="20"/>
        </w:rPr>
      </w:pPr>
      <w:r>
        <w:rPr>
          <w:noProof/>
          <w:sz w:val="20"/>
          <w:lang w:eastAsia="uk-UA"/>
        </w:rPr>
        <w:lastRenderedPageBreak/>
        <w:drawing>
          <wp:inline distT="0" distB="0" distL="0" distR="0">
            <wp:extent cx="3670300" cy="2197100"/>
            <wp:effectExtent l="0" t="0" r="6350" b="0"/>
            <wp:docPr id="1"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
                    <pic:cNvPicPr>
                      <a:picLocks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70300" cy="2197100"/>
                    </a:xfrm>
                    <a:prstGeom prst="rect">
                      <a:avLst/>
                    </a:prstGeom>
                    <a:noFill/>
                    <a:ln>
                      <a:noFill/>
                    </a:ln>
                  </pic:spPr>
                </pic:pic>
              </a:graphicData>
            </a:graphic>
          </wp:inline>
        </w:drawing>
      </w:r>
    </w:p>
    <w:p w:rsidR="002609F1" w:rsidRDefault="002609F1" w:rsidP="002609F1">
      <w:pPr>
        <w:pStyle w:val="a3"/>
        <w:ind w:left="2024" w:firstLine="0"/>
      </w:pPr>
      <w:r>
        <w:t>Рисунок</w:t>
      </w:r>
      <w:r>
        <w:rPr>
          <w:spacing w:val="-5"/>
        </w:rPr>
        <w:t xml:space="preserve"> </w:t>
      </w:r>
      <w:r>
        <w:t>1</w:t>
      </w:r>
      <w:r>
        <w:rPr>
          <w:spacing w:val="-7"/>
        </w:rPr>
        <w:t xml:space="preserve"> </w:t>
      </w:r>
      <w:r>
        <w:t>–</w:t>
      </w:r>
      <w:r>
        <w:rPr>
          <w:spacing w:val="-7"/>
        </w:rPr>
        <w:t xml:space="preserve"> </w:t>
      </w:r>
      <w:r>
        <w:t>Схема</w:t>
      </w:r>
      <w:r>
        <w:rPr>
          <w:spacing w:val="-6"/>
        </w:rPr>
        <w:t xml:space="preserve"> </w:t>
      </w:r>
      <w:r>
        <w:t>відстійника</w:t>
      </w:r>
      <w:r>
        <w:rPr>
          <w:spacing w:val="-9"/>
        </w:rPr>
        <w:t xml:space="preserve"> </w:t>
      </w:r>
      <w:r>
        <w:t>періодичної</w:t>
      </w:r>
      <w:r>
        <w:rPr>
          <w:spacing w:val="-4"/>
        </w:rPr>
        <w:t xml:space="preserve"> дії.</w:t>
      </w:r>
    </w:p>
    <w:p w:rsidR="002609F1" w:rsidRDefault="002609F1" w:rsidP="002609F1">
      <w:pPr>
        <w:pStyle w:val="a3"/>
        <w:spacing w:before="29" w:line="235" w:lineRule="auto"/>
        <w:ind w:right="138"/>
      </w:pPr>
      <w:r>
        <w:t>Обчислюючи продуктивність відстійників періодичної дії, слід враховувати також час,</w:t>
      </w:r>
      <w:r>
        <w:rPr>
          <w:spacing w:val="-2"/>
        </w:rPr>
        <w:t xml:space="preserve"> </w:t>
      </w:r>
      <w:r>
        <w:t>що</w:t>
      </w:r>
      <w:r>
        <w:rPr>
          <w:spacing w:val="-1"/>
        </w:rPr>
        <w:t xml:space="preserve"> </w:t>
      </w:r>
      <w:r>
        <w:t>витрачається на завантаження</w:t>
      </w:r>
      <w:r>
        <w:rPr>
          <w:spacing w:val="-2"/>
        </w:rPr>
        <w:t xml:space="preserve"> </w:t>
      </w:r>
      <w:r>
        <w:t>і</w:t>
      </w:r>
      <w:r>
        <w:rPr>
          <w:spacing w:val="-6"/>
        </w:rPr>
        <w:t xml:space="preserve"> </w:t>
      </w:r>
      <w:r>
        <w:t xml:space="preserve">розвантаження </w:t>
      </w:r>
      <w:r>
        <w:rPr>
          <w:spacing w:val="-4"/>
        </w:rPr>
        <w:t>їх.</w:t>
      </w:r>
    </w:p>
    <w:p w:rsidR="002609F1" w:rsidRDefault="002609F1" w:rsidP="002609F1">
      <w:pPr>
        <w:pStyle w:val="a5"/>
        <w:numPr>
          <w:ilvl w:val="0"/>
          <w:numId w:val="1"/>
        </w:numPr>
        <w:tabs>
          <w:tab w:val="left" w:pos="467"/>
        </w:tabs>
        <w:spacing w:before="66"/>
        <w:ind w:left="467" w:hanging="325"/>
        <w:rPr>
          <w:i/>
          <w:sz w:val="32"/>
        </w:rPr>
      </w:pPr>
      <w:r>
        <w:rPr>
          <w:i/>
          <w:sz w:val="32"/>
        </w:rPr>
        <w:t>Осадження</w:t>
      </w:r>
      <w:r>
        <w:rPr>
          <w:i/>
          <w:spacing w:val="-8"/>
          <w:sz w:val="32"/>
        </w:rPr>
        <w:t xml:space="preserve"> </w:t>
      </w:r>
      <w:r>
        <w:rPr>
          <w:i/>
          <w:sz w:val="32"/>
        </w:rPr>
        <w:t>в</w:t>
      </w:r>
      <w:r>
        <w:rPr>
          <w:i/>
          <w:spacing w:val="-11"/>
          <w:sz w:val="32"/>
        </w:rPr>
        <w:t xml:space="preserve"> </w:t>
      </w:r>
      <w:r>
        <w:rPr>
          <w:i/>
          <w:sz w:val="32"/>
        </w:rPr>
        <w:t>полі</w:t>
      </w:r>
      <w:r>
        <w:rPr>
          <w:i/>
          <w:spacing w:val="-9"/>
          <w:sz w:val="32"/>
        </w:rPr>
        <w:t xml:space="preserve"> </w:t>
      </w:r>
      <w:r>
        <w:rPr>
          <w:i/>
          <w:sz w:val="32"/>
        </w:rPr>
        <w:t>відцентрової</w:t>
      </w:r>
      <w:r>
        <w:rPr>
          <w:i/>
          <w:spacing w:val="-9"/>
          <w:sz w:val="32"/>
        </w:rPr>
        <w:t xml:space="preserve"> </w:t>
      </w:r>
      <w:r>
        <w:rPr>
          <w:i/>
          <w:spacing w:val="-2"/>
          <w:sz w:val="32"/>
        </w:rPr>
        <w:t>сили.</w:t>
      </w:r>
    </w:p>
    <w:p w:rsidR="002609F1" w:rsidRDefault="002609F1" w:rsidP="002609F1">
      <w:pPr>
        <w:pStyle w:val="a3"/>
        <w:spacing w:before="2"/>
        <w:ind w:right="143"/>
      </w:pPr>
      <w:r>
        <w:t>Оскільки відцентрова сила, що виникає під час обертання тіл, у</w:t>
      </w:r>
      <w:r>
        <w:rPr>
          <w:spacing w:val="40"/>
        </w:rPr>
        <w:t xml:space="preserve"> </w:t>
      </w:r>
      <w:r>
        <w:t>багато разів перевищує силу тяжіння, її використовують для прискорення процесу осадження.</w:t>
      </w:r>
    </w:p>
    <w:p w:rsidR="002609F1" w:rsidRDefault="002609F1" w:rsidP="002609F1">
      <w:pPr>
        <w:pStyle w:val="a3"/>
        <w:spacing w:before="3" w:line="235" w:lineRule="auto"/>
        <w:ind w:right="139"/>
      </w:pPr>
      <w:r>
        <w:t xml:space="preserve">Щоб створити поле відцентрових сил, у техніці використовують два </w:t>
      </w:r>
      <w:r>
        <w:rPr>
          <w:spacing w:val="-2"/>
        </w:rPr>
        <w:t>прийоми:</w:t>
      </w:r>
    </w:p>
    <w:p w:rsidR="002609F1" w:rsidRDefault="002609F1" w:rsidP="002609F1">
      <w:pPr>
        <w:pStyle w:val="a5"/>
        <w:numPr>
          <w:ilvl w:val="1"/>
          <w:numId w:val="1"/>
        </w:numPr>
        <w:tabs>
          <w:tab w:val="left" w:pos="1137"/>
        </w:tabs>
        <w:spacing w:before="3"/>
        <w:ind w:right="142" w:firstLine="566"/>
        <w:rPr>
          <w:sz w:val="32"/>
        </w:rPr>
      </w:pPr>
      <w:r>
        <w:rPr>
          <w:sz w:val="32"/>
        </w:rPr>
        <w:t>потік суспензії чи емульсії подають у барабан (ротор) машини (апарата), який обертається разом з неоднорідною системою;</w:t>
      </w:r>
    </w:p>
    <w:p w:rsidR="002609F1" w:rsidRDefault="002609F1" w:rsidP="002609F1">
      <w:pPr>
        <w:pStyle w:val="a5"/>
        <w:numPr>
          <w:ilvl w:val="1"/>
          <w:numId w:val="1"/>
        </w:numPr>
        <w:tabs>
          <w:tab w:val="left" w:pos="1228"/>
        </w:tabs>
        <w:ind w:right="140" w:firstLine="566"/>
        <w:rPr>
          <w:sz w:val="32"/>
        </w:rPr>
      </w:pPr>
      <w:r>
        <w:rPr>
          <w:sz w:val="32"/>
        </w:rPr>
        <w:t>забезпечують обертальний рух пилу (диму) чи суспензії в нерухомому корпусі апарата. У першому випадку відбувається відцентрове осадження, а у другому – циклонний процес.</w:t>
      </w:r>
    </w:p>
    <w:p w:rsidR="002609F1" w:rsidRDefault="002609F1" w:rsidP="002609F1">
      <w:pPr>
        <w:pStyle w:val="a3"/>
        <w:ind w:right="140"/>
      </w:pPr>
      <w:r>
        <w:t xml:space="preserve">До осаджувачів у відцентровому полі належать: барабані </w:t>
      </w:r>
      <w:proofErr w:type="spellStart"/>
      <w:r>
        <w:t>осаджувальні</w:t>
      </w:r>
      <w:proofErr w:type="spellEnd"/>
      <w:r>
        <w:t xml:space="preserve"> центрифуги, </w:t>
      </w:r>
      <w:proofErr w:type="spellStart"/>
      <w:r>
        <w:t>осаджувальні</w:t>
      </w:r>
      <w:proofErr w:type="spellEnd"/>
      <w:r>
        <w:t xml:space="preserve"> центрифуги періодичної дії, </w:t>
      </w:r>
      <w:proofErr w:type="spellStart"/>
      <w:r>
        <w:t>осаджувальні</w:t>
      </w:r>
      <w:proofErr w:type="spellEnd"/>
      <w:r>
        <w:t xml:space="preserve"> горизонтальні центрифуги безперервної дії із шнековим вивантаженням осаду (ОГШ), молочні сепаратори, дріжджові сепаратори, циклони, </w:t>
      </w:r>
      <w:proofErr w:type="spellStart"/>
      <w:r>
        <w:t>гідроциклони</w:t>
      </w:r>
      <w:proofErr w:type="spellEnd"/>
      <w:r>
        <w:t xml:space="preserve"> та батарейні циклони.</w:t>
      </w:r>
    </w:p>
    <w:p w:rsidR="002609F1" w:rsidRDefault="002609F1" w:rsidP="002609F1">
      <w:pPr>
        <w:pStyle w:val="a3"/>
        <w:spacing w:before="3"/>
        <w:ind w:right="136"/>
      </w:pPr>
      <w:r>
        <w:t>У харчовій промисловості центрифуги типу ОГШ застосовують для відокремлення жиру і води від вишкварки на м’ясопереробних підприємствах, для виділення крохмалю з крохмального молока.</w:t>
      </w:r>
    </w:p>
    <w:p w:rsidR="002609F1" w:rsidRDefault="002609F1" w:rsidP="002609F1">
      <w:pPr>
        <w:pStyle w:val="a3"/>
        <w:spacing w:before="1"/>
        <w:ind w:right="136"/>
      </w:pPr>
      <w:r>
        <w:t xml:space="preserve">Окрему групу </w:t>
      </w:r>
      <w:proofErr w:type="spellStart"/>
      <w:r>
        <w:t>осаджувальних</w:t>
      </w:r>
      <w:proofErr w:type="spellEnd"/>
      <w:r>
        <w:t xml:space="preserve"> центрифуг становлять </w:t>
      </w:r>
      <w:r>
        <w:rPr>
          <w:i/>
        </w:rPr>
        <w:t>сепаратори</w:t>
      </w:r>
      <w:r>
        <w:t>, в яких рідина у внутрішньому просторі барабана розділена на тонкі шари конічними перегородками. Під час руху рідини тонким шаром зберігається ламінарний режим руху при великих швидкостях, скорочується шлях руху частинок до поверхні осадження. Це дає змогу скоротити тривалість перебування суспензії або емульсії в зоні осадження, а отже, збільшити продуктивність сепаратора.</w:t>
      </w:r>
    </w:p>
    <w:p w:rsidR="002609F1" w:rsidRDefault="002609F1" w:rsidP="002609F1">
      <w:pPr>
        <w:widowControl/>
        <w:autoSpaceDE/>
        <w:autoSpaceDN/>
        <w:rPr>
          <w:sz w:val="32"/>
          <w:szCs w:val="32"/>
        </w:rPr>
        <w:sectPr w:rsidR="002609F1">
          <w:pgSz w:w="11910" w:h="16840"/>
          <w:pgMar w:top="800" w:right="708" w:bottom="820" w:left="708" w:header="0" w:footer="568" w:gutter="0"/>
          <w:cols w:space="720"/>
        </w:sectPr>
      </w:pPr>
    </w:p>
    <w:p w:rsidR="002609F1" w:rsidRDefault="002609F1" w:rsidP="002609F1">
      <w:pPr>
        <w:pStyle w:val="a3"/>
        <w:spacing w:before="62"/>
        <w:ind w:right="133"/>
      </w:pPr>
      <w:r>
        <w:lastRenderedPageBreak/>
        <w:t>Відстань між тарілками у молочних сепараторах дорівнює приблизно 0,5мм. Вона фіксується</w:t>
      </w:r>
      <w:r>
        <w:rPr>
          <w:spacing w:val="-1"/>
        </w:rPr>
        <w:t xml:space="preserve"> </w:t>
      </w:r>
      <w:r>
        <w:t>спеціально передбаченими</w:t>
      </w:r>
      <w:r>
        <w:rPr>
          <w:spacing w:val="-2"/>
        </w:rPr>
        <w:t xml:space="preserve"> </w:t>
      </w:r>
      <w:r>
        <w:t>виступами на поверхні тарілок. Кут нахилу твірних конусів тарілок – 50…60</w:t>
      </w:r>
      <w:r>
        <w:rPr>
          <w:vertAlign w:val="superscript"/>
        </w:rPr>
        <w:t>о</w:t>
      </w:r>
      <w:r>
        <w:t>. Частота обертання барабана – в середньому 5000…6000хв</w:t>
      </w:r>
      <w:r>
        <w:rPr>
          <w:vertAlign w:val="superscript"/>
        </w:rPr>
        <w:t>-1</w:t>
      </w:r>
      <w:r>
        <w:t>.</w:t>
      </w:r>
    </w:p>
    <w:p w:rsidR="002609F1" w:rsidRDefault="002609F1" w:rsidP="002609F1">
      <w:pPr>
        <w:pStyle w:val="a3"/>
        <w:ind w:right="142"/>
      </w:pPr>
      <w:r>
        <w:rPr>
          <w:i/>
          <w:u w:val="single"/>
        </w:rPr>
        <w:t>Переваги</w:t>
      </w:r>
      <w:r>
        <w:rPr>
          <w:i/>
        </w:rPr>
        <w:t xml:space="preserve"> </w:t>
      </w:r>
      <w:r>
        <w:t xml:space="preserve">відстійних центрифуг порівняно з гравітаційними відстійниками: у сотні разів більша швидкість осадження і, як наслідок, невеликі габаритні розміри апаратів та мала тривалість процесу </w:t>
      </w:r>
      <w:r>
        <w:rPr>
          <w:spacing w:val="-2"/>
        </w:rPr>
        <w:t>розділення.</w:t>
      </w:r>
    </w:p>
    <w:p w:rsidR="002609F1" w:rsidRDefault="002609F1" w:rsidP="002609F1">
      <w:pPr>
        <w:pStyle w:val="a3"/>
        <w:ind w:right="137"/>
      </w:pPr>
      <w:r>
        <w:t xml:space="preserve">Основні </w:t>
      </w:r>
      <w:r>
        <w:rPr>
          <w:i/>
          <w:u w:val="single"/>
        </w:rPr>
        <w:t>недоліки</w:t>
      </w:r>
      <w:r>
        <w:t>: складність конструкції, монтажу, обслуговування та ремонту; високі вимоги до точності виготовлення, висока вартість.</w:t>
      </w:r>
    </w:p>
    <w:p w:rsidR="002609F1" w:rsidRDefault="002609F1" w:rsidP="002609F1">
      <w:pPr>
        <w:pStyle w:val="a3"/>
        <w:ind w:right="133"/>
      </w:pPr>
      <w:r>
        <w:t xml:space="preserve">Деяких з цих недоліків позбавлені </w:t>
      </w:r>
      <w:r>
        <w:rPr>
          <w:i/>
        </w:rPr>
        <w:t xml:space="preserve">циклони </w:t>
      </w:r>
      <w:r>
        <w:t xml:space="preserve">і </w:t>
      </w:r>
      <w:proofErr w:type="spellStart"/>
      <w:r>
        <w:rPr>
          <w:i/>
        </w:rPr>
        <w:t>гідроциклони</w:t>
      </w:r>
      <w:proofErr w:type="spellEnd"/>
      <w:r>
        <w:rPr>
          <w:i/>
        </w:rPr>
        <w:t xml:space="preserve"> </w:t>
      </w:r>
      <w:r>
        <w:t>– апарати, що використовують відцентрову силу для розділення відповідно газових і рідких неоднорідних</w:t>
      </w:r>
      <w:r>
        <w:rPr>
          <w:spacing w:val="-3"/>
        </w:rPr>
        <w:t xml:space="preserve"> </w:t>
      </w:r>
      <w:r>
        <w:t>систем, але вони не мають рухомих елементів і тому простіші за конструкцією.</w:t>
      </w:r>
    </w:p>
    <w:p w:rsidR="002609F1" w:rsidRDefault="002609F1" w:rsidP="002609F1">
      <w:pPr>
        <w:pStyle w:val="a3"/>
        <w:ind w:right="138"/>
      </w:pPr>
      <w:r>
        <w:t xml:space="preserve">При розрахунках циклонів умовна швидкість руху газу </w:t>
      </w:r>
      <w:proofErr w:type="spellStart"/>
      <w:r>
        <w:t>w</w:t>
      </w:r>
      <w:r>
        <w:rPr>
          <w:vertAlign w:val="subscript"/>
        </w:rPr>
        <w:t>г</w:t>
      </w:r>
      <w:proofErr w:type="spellEnd"/>
      <w:r>
        <w:t>, віднесена до повного поперечного перерізу циліндричної частини циклона, дорівнює 2,5…4,0м/с. Продуктивність циклона за запиленим газом, м</w:t>
      </w:r>
      <w:r>
        <w:rPr>
          <w:vertAlign w:val="superscript"/>
        </w:rPr>
        <w:t>3</w:t>
      </w:r>
      <w:r>
        <w:t>/с:</w:t>
      </w:r>
    </w:p>
    <w:p w:rsidR="002609F1" w:rsidRDefault="002609F1" w:rsidP="002609F1">
      <w:pPr>
        <w:spacing w:before="18" w:line="117" w:lineRule="exact"/>
        <w:ind w:left="245" w:right="58"/>
        <w:jc w:val="center"/>
        <w:rPr>
          <w:sz w:val="24"/>
        </w:rPr>
      </w:pPr>
      <w:r>
        <w:rPr>
          <w:rFonts w:ascii="Symbol" w:hAnsi="Symbol"/>
          <w:spacing w:val="-6"/>
          <w:sz w:val="25"/>
        </w:rPr>
        <w:t></w:t>
      </w:r>
      <w:r>
        <w:rPr>
          <w:i/>
          <w:spacing w:val="-6"/>
          <w:sz w:val="24"/>
        </w:rPr>
        <w:t>D</w:t>
      </w:r>
      <w:r>
        <w:rPr>
          <w:i/>
          <w:spacing w:val="-35"/>
          <w:sz w:val="24"/>
        </w:rPr>
        <w:t xml:space="preserve"> </w:t>
      </w:r>
      <w:r>
        <w:rPr>
          <w:spacing w:val="-10"/>
          <w:sz w:val="24"/>
          <w:vertAlign w:val="superscript"/>
        </w:rPr>
        <w:t>2</w:t>
      </w:r>
    </w:p>
    <w:p w:rsidR="002609F1" w:rsidRDefault="002609F1" w:rsidP="002609F1">
      <w:pPr>
        <w:tabs>
          <w:tab w:val="left" w:pos="5624"/>
          <w:tab w:val="left" w:pos="9922"/>
        </w:tabs>
        <w:spacing w:line="314" w:lineRule="exact"/>
        <w:ind w:left="4694"/>
        <w:rPr>
          <w:sz w:val="32"/>
        </w:rPr>
      </w:pPr>
      <w:r>
        <w:rPr>
          <w:noProof/>
          <w:lang w:eastAsia="uk-UA"/>
        </w:rPr>
        <mc:AlternateContent>
          <mc:Choice Requires="wps">
            <w:drawing>
              <wp:anchor distT="0" distB="0" distL="0" distR="0" simplePos="0" relativeHeight="251658240" behindDoc="1" locked="0" layoutInCell="1" allowOverlap="1">
                <wp:simplePos x="0" y="0"/>
                <wp:positionH relativeFrom="page">
                  <wp:posOffset>3712845</wp:posOffset>
                </wp:positionH>
                <wp:positionV relativeFrom="paragraph">
                  <wp:posOffset>143510</wp:posOffset>
                </wp:positionV>
                <wp:extent cx="280035" cy="1270"/>
                <wp:effectExtent l="0" t="0" r="24765" b="17780"/>
                <wp:wrapNone/>
                <wp:docPr id="8" name="Полилиния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0035" cy="1270"/>
                        </a:xfrm>
                        <a:custGeom>
                          <a:avLst/>
                          <a:gdLst/>
                          <a:ahLst/>
                          <a:cxnLst/>
                          <a:rect l="l" t="t" r="r" b="b"/>
                          <a:pathLst>
                            <a:path w="280035">
                              <a:moveTo>
                                <a:pt x="0" y="0"/>
                              </a:moveTo>
                              <a:lnTo>
                                <a:pt x="279568" y="0"/>
                              </a:lnTo>
                            </a:path>
                          </a:pathLst>
                        </a:custGeom>
                        <a:ln w="634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Полилиния 8" o:spid="_x0000_s1026" style="position:absolute;margin-left:292.35pt;margin-top:11.3pt;width:22.05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00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" path="m,l279568,e" filled="f" strokeweight=".17614mm">
                <v:path arrowok="t"/>
                <w10:wrap anchorx="page"/>
              </v:shape>
            </w:pict>
          </mc:Fallback>
        </mc:AlternateContent>
      </w:r>
      <w:r>
        <w:rPr>
          <w:i/>
          <w:sz w:val="24"/>
        </w:rPr>
        <w:t>V</w:t>
      </w:r>
      <w:r>
        <w:rPr>
          <w:i/>
          <w:spacing w:val="37"/>
          <w:sz w:val="24"/>
        </w:rPr>
        <w:t xml:space="preserve"> </w:t>
      </w:r>
      <w:r>
        <w:rPr>
          <w:rFonts w:ascii="Symbol" w:hAnsi="Symbol"/>
          <w:spacing w:val="-10"/>
          <w:sz w:val="24"/>
        </w:rPr>
        <w:t></w:t>
      </w:r>
      <w:r>
        <w:rPr>
          <w:sz w:val="24"/>
        </w:rPr>
        <w:tab/>
      </w:r>
      <w:r>
        <w:rPr>
          <w:i/>
          <w:sz w:val="24"/>
        </w:rPr>
        <w:t>w</w:t>
      </w:r>
      <w:r>
        <w:rPr>
          <w:i/>
          <w:position w:val="-5"/>
          <w:sz w:val="14"/>
        </w:rPr>
        <w:t>Г</w:t>
      </w:r>
      <w:r>
        <w:rPr>
          <w:i/>
          <w:spacing w:val="15"/>
          <w:position w:val="-5"/>
          <w:sz w:val="14"/>
        </w:rPr>
        <w:t xml:space="preserve"> </w:t>
      </w:r>
      <w:r>
        <w:rPr>
          <w:spacing w:val="-10"/>
          <w:sz w:val="32"/>
        </w:rPr>
        <w:t>,</w:t>
      </w:r>
      <w:r>
        <w:rPr>
          <w:sz w:val="32"/>
        </w:rPr>
        <w:tab/>
      </w:r>
      <w:r>
        <w:rPr>
          <w:spacing w:val="-5"/>
          <w:sz w:val="32"/>
        </w:rPr>
        <w:t>(2)</w:t>
      </w:r>
    </w:p>
    <w:p w:rsidR="002609F1" w:rsidRDefault="002609F1" w:rsidP="002609F1">
      <w:pPr>
        <w:spacing w:line="213" w:lineRule="exact"/>
        <w:ind w:left="237"/>
        <w:jc w:val="center"/>
        <w:rPr>
          <w:sz w:val="24"/>
        </w:rPr>
      </w:pPr>
      <w:r>
        <w:rPr>
          <w:spacing w:val="-10"/>
          <w:sz w:val="24"/>
        </w:rPr>
        <w:t>4</w:t>
      </w:r>
    </w:p>
    <w:p w:rsidR="002609F1" w:rsidRDefault="002609F1" w:rsidP="002609F1">
      <w:pPr>
        <w:pStyle w:val="a3"/>
        <w:spacing w:line="358" w:lineRule="exact"/>
        <w:ind w:firstLine="0"/>
        <w:jc w:val="left"/>
      </w:pPr>
      <w:r>
        <w:t>де:</w:t>
      </w:r>
      <w:r>
        <w:rPr>
          <w:spacing w:val="-11"/>
        </w:rPr>
        <w:t xml:space="preserve"> </w:t>
      </w:r>
      <w:r>
        <w:rPr>
          <w:i/>
        </w:rPr>
        <w:t>D</w:t>
      </w:r>
      <w:r>
        <w:rPr>
          <w:i/>
          <w:spacing w:val="-8"/>
        </w:rPr>
        <w:t xml:space="preserve"> </w:t>
      </w:r>
      <w:r>
        <w:t>–</w:t>
      </w:r>
      <w:r>
        <w:rPr>
          <w:spacing w:val="-3"/>
        </w:rPr>
        <w:t xml:space="preserve"> </w:t>
      </w:r>
      <w:r>
        <w:t>внутрішній</w:t>
      </w:r>
      <w:r>
        <w:rPr>
          <w:spacing w:val="-6"/>
        </w:rPr>
        <w:t xml:space="preserve"> </w:t>
      </w:r>
      <w:r>
        <w:t>діаметр</w:t>
      </w:r>
      <w:r>
        <w:rPr>
          <w:spacing w:val="-9"/>
        </w:rPr>
        <w:t xml:space="preserve"> </w:t>
      </w:r>
      <w:r>
        <w:t>циліндричної</w:t>
      </w:r>
      <w:r>
        <w:rPr>
          <w:spacing w:val="-8"/>
        </w:rPr>
        <w:t xml:space="preserve"> </w:t>
      </w:r>
      <w:r>
        <w:t>частини,</w:t>
      </w:r>
      <w:r>
        <w:rPr>
          <w:spacing w:val="-5"/>
        </w:rPr>
        <w:t xml:space="preserve"> м.</w:t>
      </w:r>
    </w:p>
    <w:p w:rsidR="002609F1" w:rsidRDefault="002609F1" w:rsidP="002609F1">
      <w:pPr>
        <w:pStyle w:val="a3"/>
        <w:ind w:left="708" w:firstLine="0"/>
        <w:jc w:val="left"/>
      </w:pPr>
      <w:r>
        <w:rPr>
          <w:noProof/>
          <w:lang w:eastAsia="uk-UA"/>
        </w:rPr>
        <mc:AlternateContent>
          <mc:Choice Requires="wpg">
            <w:drawing>
              <wp:anchor distT="0" distB="0" distL="0" distR="0" simplePos="0" relativeHeight="251658240" behindDoc="0" locked="0" layoutInCell="1" allowOverlap="1">
                <wp:simplePos x="0" y="0"/>
                <wp:positionH relativeFrom="page">
                  <wp:posOffset>3368675</wp:posOffset>
                </wp:positionH>
                <wp:positionV relativeFrom="paragraph">
                  <wp:posOffset>314325</wp:posOffset>
                </wp:positionV>
                <wp:extent cx="394335" cy="423545"/>
                <wp:effectExtent l="0" t="0" r="24765" b="14605"/>
                <wp:wrapNone/>
                <wp:docPr id="3" name="Группа 3"/>
                <wp:cNvGraphicFramePr/>
                <a:graphic xmlns:a="http://schemas.openxmlformats.org/drawingml/2006/main">
                  <a:graphicData uri="http://schemas.microsoft.com/office/word/2010/wordprocessingGroup">
                    <wpg:wgp>
                      <wpg:cNvGrpSpPr/>
                      <wpg:grpSpPr>
                        <a:xfrm>
                          <a:off x="0" y="0"/>
                          <a:ext cx="394335" cy="423545"/>
                          <a:chOff x="0" y="0"/>
                          <a:chExt cx="394496" cy="423545"/>
                        </a:xfrm>
                      </wpg:grpSpPr>
                      <wps:wsp>
                        <wps:cNvPr id="10" name="Graphic 5"/>
                        <wps:cNvSpPr/>
                        <wps:spPr>
                          <a:xfrm>
                            <a:off x="3157" y="207430"/>
                            <a:ext cx="379095" cy="59055"/>
                          </a:xfrm>
                          <a:custGeom>
                            <a:avLst/>
                            <a:gdLst/>
                            <a:ahLst/>
                            <a:cxnLst/>
                            <a:rect l="l" t="t" r="r" b="b"/>
                            <a:pathLst>
                              <a:path w="379095" h="59055">
                                <a:moveTo>
                                  <a:pt x="100434" y="0"/>
                                </a:moveTo>
                                <a:lnTo>
                                  <a:pt x="378508" y="0"/>
                                </a:lnTo>
                              </a:path>
                              <a:path w="379095" h="59055">
                                <a:moveTo>
                                  <a:pt x="0" y="58826"/>
                                </a:moveTo>
                                <a:lnTo>
                                  <a:pt x="19537" y="47774"/>
                                </a:lnTo>
                              </a:path>
                            </a:pathLst>
                          </a:custGeom>
                          <a:ln w="6346">
                            <a:solidFill>
                              <a:srgbClr val="000000"/>
                            </a:solidFill>
                            <a:prstDash val="solid"/>
                          </a:ln>
                        </wps:spPr>
                        <wps:bodyPr wrap="square" lIns="0" tIns="0" rIns="0" bIns="0" rtlCol="0">
                          <a:prstTxWarp prst="textNoShape">
                            <a:avLst/>
                          </a:prstTxWarp>
                          <a:noAutofit/>
                        </wps:bodyPr>
                      </wps:wsp>
                      <wps:wsp>
                        <wps:cNvPr id="11" name="Graphic 6"/>
                        <wps:cNvSpPr/>
                        <wps:spPr>
                          <a:xfrm>
                            <a:off x="22695" y="258490"/>
                            <a:ext cx="28575" cy="151765"/>
                          </a:xfrm>
                          <a:custGeom>
                            <a:avLst/>
                            <a:gdLst/>
                            <a:ahLst/>
                            <a:cxnLst/>
                            <a:rect l="l" t="t" r="r" b="b"/>
                            <a:pathLst>
                              <a:path w="28575" h="151765">
                                <a:moveTo>
                                  <a:pt x="0" y="0"/>
                                </a:moveTo>
                                <a:lnTo>
                                  <a:pt x="28393" y="151387"/>
                                </a:lnTo>
                              </a:path>
                            </a:pathLst>
                          </a:custGeom>
                          <a:ln w="12811">
                            <a:solidFill>
                              <a:srgbClr val="000000"/>
                            </a:solidFill>
                            <a:prstDash val="solid"/>
                          </a:ln>
                        </wps:spPr>
                        <wps:bodyPr wrap="square" lIns="0" tIns="0" rIns="0" bIns="0" rtlCol="0">
                          <a:prstTxWarp prst="textNoShape">
                            <a:avLst/>
                          </a:prstTxWarp>
                          <a:noAutofit/>
                        </wps:bodyPr>
                      </wps:wsp>
                      <wps:wsp>
                        <wps:cNvPr id="12" name="Graphic 7"/>
                        <wps:cNvSpPr/>
                        <wps:spPr>
                          <a:xfrm>
                            <a:off x="54136" y="3204"/>
                            <a:ext cx="340360" cy="407034"/>
                          </a:xfrm>
                          <a:custGeom>
                            <a:avLst/>
                            <a:gdLst/>
                            <a:ahLst/>
                            <a:cxnLst/>
                            <a:rect l="l" t="t" r="r" b="b"/>
                            <a:pathLst>
                              <a:path w="340360" h="407034">
                                <a:moveTo>
                                  <a:pt x="0" y="406672"/>
                                </a:moveTo>
                                <a:lnTo>
                                  <a:pt x="37550" y="0"/>
                                </a:lnTo>
                              </a:path>
                              <a:path w="340360" h="407034">
                                <a:moveTo>
                                  <a:pt x="37550" y="0"/>
                                </a:moveTo>
                                <a:lnTo>
                                  <a:pt x="340037" y="0"/>
                                </a:lnTo>
                              </a:path>
                            </a:pathLst>
                          </a:custGeom>
                          <a:ln w="6346">
                            <a:solidFill>
                              <a:srgbClr val="000000"/>
                            </a:solidFill>
                            <a:prstDash val="solid"/>
                          </a:ln>
                        </wps:spPr>
                        <wps:bodyPr wrap="square" lIns="0" tIns="0" rIns="0" bIns="0" rtlCol="0">
                          <a:prstTxWarp prst="textNoShape">
                            <a:avLst/>
                          </a:prstTxWarp>
                          <a:noAutofit/>
                        </wps:bodyPr>
                      </wps:wsp>
                      <wps:wsp>
                        <wps:cNvPr id="13" name="Textbox 8"/>
                        <wps:cNvSpPr txBox="1"/>
                        <wps:spPr>
                          <a:xfrm>
                            <a:off x="0" y="0"/>
                            <a:ext cx="394335" cy="423545"/>
                          </a:xfrm>
                          <a:prstGeom prst="rect">
                            <a:avLst/>
                          </a:prstGeom>
                        </wps:spPr>
                        <wps:txbx>
                          <w:txbxContent>
                            <w:p w:rsidR="002609F1" w:rsidRDefault="002609F1" w:rsidP="002609F1">
                              <w:pPr>
                                <w:spacing w:before="11"/>
                                <w:ind w:left="242"/>
                                <w:rPr>
                                  <w:i/>
                                  <w:sz w:val="24"/>
                                </w:rPr>
                              </w:pPr>
                              <w:r>
                                <w:rPr>
                                  <w:spacing w:val="-5"/>
                                  <w:sz w:val="24"/>
                                </w:rPr>
                                <w:t>4</w:t>
                              </w:r>
                              <w:r>
                                <w:rPr>
                                  <w:i/>
                                  <w:spacing w:val="-5"/>
                                  <w:sz w:val="24"/>
                                </w:rPr>
                                <w:t>V</w:t>
                              </w:r>
                            </w:p>
                            <w:p w:rsidR="002609F1" w:rsidRDefault="002609F1" w:rsidP="002609F1">
                              <w:pPr>
                                <w:spacing w:before="37"/>
                                <w:ind w:left="164"/>
                                <w:rPr>
                                  <w:i/>
                                  <w:position w:val="-5"/>
                                  <w:sz w:val="14"/>
                                </w:rPr>
                              </w:pPr>
                              <w:r>
                                <w:rPr>
                                  <w:rFonts w:ascii="Symbol" w:hAnsi="Symbol"/>
                                  <w:spacing w:val="-5"/>
                                  <w:sz w:val="25"/>
                                </w:rPr>
                                <w:t></w:t>
                              </w:r>
                              <w:r>
                                <w:rPr>
                                  <w:i/>
                                  <w:spacing w:val="-5"/>
                                  <w:sz w:val="24"/>
                                </w:rPr>
                                <w:t>w</w:t>
                              </w:r>
                              <w:r>
                                <w:rPr>
                                  <w:i/>
                                  <w:spacing w:val="-5"/>
                                  <w:position w:val="-5"/>
                                  <w:sz w:val="14"/>
                                </w:rPr>
                                <w:t>Г</w:t>
                              </w:r>
                            </w:p>
                          </w:txbxContent>
                        </wps:txbx>
                        <wps:bodyPr wrap="square"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id="Группа 3" o:spid="_x0000_s1026" style="position:absolute;left:0;text-align:left;margin-left:265.25pt;margin-top:24.75pt;width:31.05pt;height:33.35pt;z-index:251658240;mso-wrap-distance-left:0;mso-wrap-distance-right:0;mso-position-horizontal-relative:page" coordsize="394496,423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">
                <v:shape id="Graphic 5" o:spid="_x0000_s1027" style="position:absolute;left:3157;top:207430;width:379095;height:59055;visibility:visible;mso-wrap-style:square;v-text-anchor:top" coordsize="379095,590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R8DMUA&#10;AADbAAAADwAAAGRycy9kb3ducmV2LnhtbESPT2vCQBDF74V+h2UKXkQ3ehBJXaWUiv8OtlbwOmTH&#10;JDQ7G7KriX565yD0NsN7895vZovOVepKTSg9GxgNE1DEmbcl5waOv8vBFFSIyBYrz2TgRgEW89eX&#10;GabWt/xD10PMlYRwSNFAEWOdah2yghyGoa+JRTv7xmGUtcm1bbCVcFfpcZJMtMOSpaHAmj4Lyv4O&#10;F2fg++S3my9u43iHeN9d9qt9f70ypvfWfbyDitTFf/Pzem0FX+jlFxlAz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hHwMxQAAANsAAAAPAAAAAAAAAAAAAAAAAJgCAABkcnMv&#10;ZG93bnJldi54bWxQSwUGAAAAAAQABAD1AAAAigMAAAAA&#10;" path="m100434,l378508,em,58826l19537,47774e" filled="f" strokeweight=".17628mm">
                  <v:path arrowok="t"/>
                </v:shape>
                <v:shape id="Graphic 6" o:spid="_x0000_s1028" style="position:absolute;left:22695;top:258490;width:28575;height:151765;visibility:visible;mso-wrap-style:square;v-text-anchor:top" coordsize="28575,1517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eEQLwA&#10;AADbAAAADwAAAGRycy9kb3ducmV2LnhtbERPSwrCMBDdC94hjOBOUxVEqlFEEIo7PyDdDc3YFptJ&#10;SaLW2xtBcDeP953VpjONeJLztWUFk3ECgriwuuZSweW8Hy1A+ICssbFMCt7kYbPu91aYavviIz1P&#10;oRQxhH2KCqoQ2lRKX1Rk0I9tSxy5m3UGQ4SulNrhK4abRk6TZC4N1hwbKmxpV1FxPz2MApK3/Pre&#10;udnhPMVif5zlmc1ypYaDbrsEEagLf/HPnek4fwLfX+IBcv0B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8B4RAvAAAANsAAAAPAAAAAAAAAAAAAAAAAJgCAABkcnMvZG93bnJldi54&#10;bWxQSwUGAAAAAAQABAD1AAAAgQMAAAAA&#10;" path="m,l28393,151387e" filled="f" strokeweight=".35586mm">
                  <v:path arrowok="t"/>
                </v:shape>
                <v:shape id="Graphic 7" o:spid="_x0000_s1029" style="position:absolute;left:54136;top:3204;width:340360;height:407034;visibility:visible;mso-wrap-style:square;v-text-anchor:top" coordsize="340360,4070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ulacEA&#10;AADbAAAADwAAAGRycy9kb3ducmV2LnhtbERP32vCMBB+H/g/hBP2NlMFp1ajyIYgzIFTwdcjOdti&#10;cylJbLv/fhkM9nYf389bbXpbi5Z8qBwrGI8yEMTamYoLBZfz7mUOIkRkg7VjUvBNATbrwdMKc+M6&#10;/qL2FAuRQjjkqKCMscmlDLoki2HkGuLE3Zy3GBP0hTQeuxRuaznJsldpseLUUGJDbyXp++lhFXxK&#10;7+tju7seutlhv3g/zqZafyj1POy3SxCR+vgv/nPvTZo/gd9f0gFy/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QrpWnBAAAA2wAAAA8AAAAAAAAAAAAAAAAAmAIAAGRycy9kb3du&#10;cmV2LnhtbFBLBQYAAAAABAAEAPUAAACGAwAAAAA=&#10;" path="m,406672l37550,em37550,l340037,e" filled="f" strokeweight=".17628mm">
                  <v:path arrowok="t"/>
                </v:shape>
                <v:shapetype id="_x0000_t202" coordsize="21600,21600" o:spt="202" path="m,l,21600r21600,l21600,xe">
                  <v:stroke joinstyle="miter"/>
                  <v:path gradientshapeok="t" o:connecttype="rect"/>
                </v:shapetype>
                <v:shape id="Textbox 8" o:spid="_x0000_s1030" type="#_x0000_t202" style="position:absolute;width:394335;height:4235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s8wMEA&#10;AADbAAAADwAAAGRycy9kb3ducmV2LnhtbERPTYvCMBC9L/gfwgje1tQVZK1GEXFhQVis9eBxbMY2&#10;2Exqk9X67zfCgrd5vM+ZLztbixu13jhWMBomIIgLpw2XCg751/snCB+QNdaOScGDPCwXvbc5ptrd&#10;OaPbPpQihrBPUUEVQpNK6YuKLPqha4gjd3atxRBhW0rd4j2G21p+JMlEWjQcGypsaF1Rcdn/WgWr&#10;I2cbc/057bJzZvJ8mvB2clFq0O9WMxCBuvAS/7u/dZw/hucv8Q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XrPMDBAAAA2wAAAA8AAAAAAAAAAAAAAAAAmAIAAGRycy9kb3du&#10;cmV2LnhtbFBLBQYAAAAABAAEAPUAAACGAwAAAAA=&#10;" filled="f" stroked="f">
                  <v:textbox inset="0,0,0,0">
                    <w:txbxContent>
                      <w:p w:rsidR="002609F1" w:rsidRDefault="002609F1" w:rsidP="002609F1">
                        <w:pPr>
                          <w:spacing w:before="11"/>
                          <w:ind w:left="242"/>
                          <w:rPr>
                            <w:i/>
                            <w:sz w:val="24"/>
                          </w:rPr>
                        </w:pPr>
                        <w:r>
                          <w:rPr>
                            <w:spacing w:val="-5"/>
                            <w:sz w:val="24"/>
                          </w:rPr>
                          <w:t>4</w:t>
                        </w:r>
                        <w:r>
                          <w:rPr>
                            <w:i/>
                            <w:spacing w:val="-5"/>
                            <w:sz w:val="24"/>
                          </w:rPr>
                          <w:t>V</w:t>
                        </w:r>
                      </w:p>
                      <w:p w:rsidR="002609F1" w:rsidRDefault="002609F1" w:rsidP="002609F1">
                        <w:pPr>
                          <w:spacing w:before="37"/>
                          <w:ind w:left="164"/>
                          <w:rPr>
                            <w:i/>
                            <w:position w:val="-5"/>
                            <w:sz w:val="14"/>
                          </w:rPr>
                        </w:pPr>
                        <w:r>
                          <w:rPr>
                            <w:rFonts w:ascii="Symbol" w:hAnsi="Symbol"/>
                            <w:spacing w:val="-5"/>
                            <w:sz w:val="25"/>
                          </w:rPr>
                          <w:t></w:t>
                        </w:r>
                        <w:r>
                          <w:rPr>
                            <w:i/>
                            <w:spacing w:val="-5"/>
                            <w:sz w:val="24"/>
                          </w:rPr>
                          <w:t>w</w:t>
                        </w:r>
                        <w:r>
                          <w:rPr>
                            <w:i/>
                            <w:spacing w:val="-5"/>
                            <w:position w:val="-5"/>
                            <w:sz w:val="14"/>
                          </w:rPr>
                          <w:t>Г</w:t>
                        </w:r>
                      </w:p>
                    </w:txbxContent>
                  </v:textbox>
                </v:shape>
                <w10:wrap anchorx="page"/>
              </v:group>
            </w:pict>
          </mc:Fallback>
        </mc:AlternateContent>
      </w:r>
      <w:r>
        <w:rPr>
          <w:noProof/>
          <w:lang w:eastAsia="uk-UA"/>
        </w:rPr>
        <mc:AlternateContent>
          <mc:Choice Requires="wpg">
            <w:drawing>
              <wp:anchor distT="0" distB="0" distL="0" distR="0" simplePos="0" relativeHeight="251658240" behindDoc="0" locked="0" layoutInCell="1" allowOverlap="1">
                <wp:simplePos x="0" y="0"/>
                <wp:positionH relativeFrom="page">
                  <wp:posOffset>4154170</wp:posOffset>
                </wp:positionH>
                <wp:positionV relativeFrom="paragraph">
                  <wp:posOffset>314325</wp:posOffset>
                </wp:positionV>
                <wp:extent cx="325120" cy="423545"/>
                <wp:effectExtent l="0" t="0" r="17780" b="14605"/>
                <wp:wrapNone/>
                <wp:docPr id="9" name="Группа 9"/>
                <wp:cNvGraphicFramePr/>
                <a:graphic xmlns:a="http://schemas.openxmlformats.org/drawingml/2006/main">
                  <a:graphicData uri="http://schemas.microsoft.com/office/word/2010/wordprocessingGroup">
                    <wpg:wgp>
                      <wpg:cNvGrpSpPr/>
                      <wpg:grpSpPr>
                        <a:xfrm>
                          <a:off x="0" y="0"/>
                          <a:ext cx="325120" cy="423545"/>
                          <a:chOff x="0" y="0"/>
                          <a:chExt cx="325269" cy="423545"/>
                        </a:xfrm>
                      </wpg:grpSpPr>
                      <wps:wsp>
                        <wps:cNvPr id="4" name="Graphic 10"/>
                        <wps:cNvSpPr/>
                        <wps:spPr>
                          <a:xfrm>
                            <a:off x="3157" y="207430"/>
                            <a:ext cx="309245" cy="59055"/>
                          </a:xfrm>
                          <a:custGeom>
                            <a:avLst/>
                            <a:gdLst/>
                            <a:ahLst/>
                            <a:cxnLst/>
                            <a:rect l="l" t="t" r="r" b="b"/>
                            <a:pathLst>
                              <a:path w="309245" h="59055">
                                <a:moveTo>
                                  <a:pt x="100119" y="0"/>
                                </a:moveTo>
                                <a:lnTo>
                                  <a:pt x="308848" y="0"/>
                                </a:lnTo>
                              </a:path>
                              <a:path w="309245" h="59055">
                                <a:moveTo>
                                  <a:pt x="0" y="58826"/>
                                </a:moveTo>
                                <a:lnTo>
                                  <a:pt x="19525" y="47774"/>
                                </a:lnTo>
                              </a:path>
                            </a:pathLst>
                          </a:custGeom>
                          <a:ln w="6346">
                            <a:solidFill>
                              <a:srgbClr val="000000"/>
                            </a:solidFill>
                            <a:prstDash val="solid"/>
                          </a:ln>
                        </wps:spPr>
                        <wps:bodyPr wrap="square" lIns="0" tIns="0" rIns="0" bIns="0" rtlCol="0">
                          <a:prstTxWarp prst="textNoShape">
                            <a:avLst/>
                          </a:prstTxWarp>
                          <a:noAutofit/>
                        </wps:bodyPr>
                      </wps:wsp>
                      <wps:wsp>
                        <wps:cNvPr id="5" name="Graphic 11"/>
                        <wps:cNvSpPr/>
                        <wps:spPr>
                          <a:xfrm>
                            <a:off x="22682" y="258490"/>
                            <a:ext cx="28575" cy="151765"/>
                          </a:xfrm>
                          <a:custGeom>
                            <a:avLst/>
                            <a:gdLst/>
                            <a:ahLst/>
                            <a:cxnLst/>
                            <a:rect l="l" t="t" r="r" b="b"/>
                            <a:pathLst>
                              <a:path w="28575" h="151765">
                                <a:moveTo>
                                  <a:pt x="0" y="0"/>
                                </a:moveTo>
                                <a:lnTo>
                                  <a:pt x="28090" y="151387"/>
                                </a:lnTo>
                              </a:path>
                            </a:pathLst>
                          </a:custGeom>
                          <a:ln w="12811">
                            <a:solidFill>
                              <a:srgbClr val="000000"/>
                            </a:solidFill>
                            <a:prstDash val="solid"/>
                          </a:ln>
                        </wps:spPr>
                        <wps:bodyPr wrap="square" lIns="0" tIns="0" rIns="0" bIns="0" rtlCol="0">
                          <a:prstTxWarp prst="textNoShape">
                            <a:avLst/>
                          </a:prstTxWarp>
                          <a:noAutofit/>
                        </wps:bodyPr>
                      </wps:wsp>
                      <wps:wsp>
                        <wps:cNvPr id="6" name="Graphic 12"/>
                        <wps:cNvSpPr/>
                        <wps:spPr>
                          <a:xfrm>
                            <a:off x="54124" y="3204"/>
                            <a:ext cx="271145" cy="407034"/>
                          </a:xfrm>
                          <a:custGeom>
                            <a:avLst/>
                            <a:gdLst/>
                            <a:ahLst/>
                            <a:cxnLst/>
                            <a:rect l="l" t="t" r="r" b="b"/>
                            <a:pathLst>
                              <a:path w="271145" h="407034">
                                <a:moveTo>
                                  <a:pt x="0" y="406672"/>
                                </a:moveTo>
                                <a:lnTo>
                                  <a:pt x="37248" y="0"/>
                                </a:lnTo>
                              </a:path>
                              <a:path w="271145" h="407034">
                                <a:moveTo>
                                  <a:pt x="37248" y="0"/>
                                </a:moveTo>
                                <a:lnTo>
                                  <a:pt x="270730" y="0"/>
                                </a:lnTo>
                              </a:path>
                            </a:pathLst>
                          </a:custGeom>
                          <a:ln w="6346">
                            <a:solidFill>
                              <a:srgbClr val="000000"/>
                            </a:solidFill>
                            <a:prstDash val="solid"/>
                          </a:ln>
                        </wps:spPr>
                        <wps:bodyPr wrap="square" lIns="0" tIns="0" rIns="0" bIns="0" rtlCol="0">
                          <a:prstTxWarp prst="textNoShape">
                            <a:avLst/>
                          </a:prstTxWarp>
                          <a:noAutofit/>
                        </wps:bodyPr>
                      </wps:wsp>
                      <wps:wsp>
                        <wps:cNvPr id="7" name="Textbox 13"/>
                        <wps:cNvSpPr txBox="1"/>
                        <wps:spPr>
                          <a:xfrm>
                            <a:off x="0" y="0"/>
                            <a:ext cx="325120" cy="423545"/>
                          </a:xfrm>
                          <a:prstGeom prst="rect">
                            <a:avLst/>
                          </a:prstGeom>
                        </wps:spPr>
                        <wps:txbx>
                          <w:txbxContent>
                            <w:p w:rsidR="002609F1" w:rsidRDefault="002609F1" w:rsidP="002609F1">
                              <w:pPr>
                                <w:spacing w:before="11"/>
                                <w:ind w:left="227"/>
                                <w:rPr>
                                  <w:i/>
                                  <w:sz w:val="24"/>
                                </w:rPr>
                              </w:pPr>
                              <w:r>
                                <w:rPr>
                                  <w:i/>
                                  <w:spacing w:val="-10"/>
                                  <w:sz w:val="24"/>
                                </w:rPr>
                                <w:t>V</w:t>
                              </w:r>
                            </w:p>
                            <w:p w:rsidR="002609F1" w:rsidRDefault="002609F1" w:rsidP="002609F1">
                              <w:pPr>
                                <w:spacing w:before="64"/>
                                <w:ind w:left="182"/>
                                <w:rPr>
                                  <w:i/>
                                  <w:position w:val="-5"/>
                                  <w:sz w:val="14"/>
                                </w:rPr>
                              </w:pPr>
                              <w:r>
                                <w:rPr>
                                  <w:i/>
                                  <w:spacing w:val="-5"/>
                                  <w:sz w:val="24"/>
                                </w:rPr>
                                <w:t>w</w:t>
                              </w:r>
                              <w:r>
                                <w:rPr>
                                  <w:i/>
                                  <w:spacing w:val="-5"/>
                                  <w:position w:val="-5"/>
                                  <w:sz w:val="14"/>
                                </w:rPr>
                                <w:t>Г</w:t>
                              </w:r>
                            </w:p>
                          </w:txbxContent>
                        </wps:txbx>
                        <wps:bodyPr wrap="square"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id="Группа 9" o:spid="_x0000_s1031" style="position:absolute;left:0;text-align:left;margin-left:327.1pt;margin-top:24.75pt;width:25.6pt;height:33.35pt;z-index:251658240;mso-wrap-distance-left:0;mso-wrap-distance-right:0;mso-position-horizontal-relative:page" coordsize="325269,423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">
                <v:shape id="Graphic 10" o:spid="_x0000_s1032" style="position:absolute;left:3157;top:207430;width:309245;height:59055;visibility:visible;mso-wrap-style:square;v-text-anchor:top" coordsize="309245,590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0qtMIA&#10;AADaAAAADwAAAGRycy9kb3ducmV2LnhtbESPS2vDMBCE74X8B7GB3ho5D0LqRgnBJdAenRf0trU2&#10;lom1MpIau/++KhR6HGbmG2a9HWwr7uRD41jBdJKBIK6cbrhWcDrun1YgQkTW2DomBd8UYLsZPawx&#10;167nku6HWIsE4ZCjAhNjl0sZKkMWw8R1xMm7Om8xJulrqT32CW5bOcuypbTYcFow2FFhqLodvqyC&#10;2aUqnt3r8mNuz2356bTh90Wp1ON42L2AiDTE//Bf+00rWMDvlXQD5OY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bSq0wgAAANoAAAAPAAAAAAAAAAAAAAAAAJgCAABkcnMvZG93&#10;bnJldi54bWxQSwUGAAAAAAQABAD1AAAAhwMAAAAA&#10;" path="m100119,l308848,em,58826l19525,47774e" filled="f" strokeweight=".17628mm">
                  <v:path arrowok="t"/>
                </v:shape>
                <v:shape id="Graphic 11" o:spid="_x0000_s1033" style="position:absolute;left:22682;top:258490;width:28575;height:151765;visibility:visible;mso-wrap-style:square;v-text-anchor:top" coordsize="28575,1517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0zoqsEA&#10;AADaAAAADwAAAGRycy9kb3ducmV2LnhtbESPQYvCMBSE74L/ITxhbzZVcZHaVEQQyt7UBent0Tzb&#10;YvNSkqzWf79ZWPA4zMw3TL4bTS8e5HxnWcEiSUEQ11Z33Cj4vhznGxA+IGvsLZOCF3nYFdNJjpm2&#10;Tz7R4xwaESHsM1TQhjBkUvq6JYM+sQNx9G7WGQxRukZqh88IN71cpumnNNhxXGhxoENL9f38YxSQ&#10;vFXX18Gtvi5LrI+nVVXaslLqYzbutyACjeEd/m+XWsEa/q7EGyCL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NM6KrBAAAA2gAAAA8AAAAAAAAAAAAAAAAAmAIAAGRycy9kb3du&#10;cmV2LnhtbFBLBQYAAAAABAAEAPUAAACGAwAAAAA=&#10;" path="m,l28090,151387e" filled="f" strokeweight=".35586mm">
                  <v:path arrowok="t"/>
                </v:shape>
                <v:shape id="Graphic 12" o:spid="_x0000_s1034" style="position:absolute;left:54124;top:3204;width:271145;height:407034;visibility:visible;mso-wrap-style:square;v-text-anchor:top" coordsize="271145,4070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ZKvMEA&#10;AADaAAAADwAAAGRycy9kb3ducmV2LnhtbESPQYvCMBSE78L+h/AWvGlaD+pWo+wq6l51RfD2aJ5N&#10;sXmpTdT6782C4HGYmW+Y6by1lbhR40vHCtJ+AoI4d7rkQsH+b9Ubg/ABWWPlmBQ8yMN89tGZYqbd&#10;nbd024VCRAj7DBWYEOpMSp8bsuj7riaO3sk1FkOUTSF1g/cIt5UcJMlQWiw5LhisaWEoP++uVsFm&#10;fT18maNsR5vl0i3yn9RdxqlS3c/2ewIiUBve4Vf7VysYwv+VeAPk7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uWSrzBAAAA2gAAAA8AAAAAAAAAAAAAAAAAmAIAAGRycy9kb3du&#10;cmV2LnhtbFBLBQYAAAAABAAEAPUAAACGAwAAAAA=&#10;" path="m,406672l37248,em37248,l270730,e" filled="f" strokeweight=".17628mm">
                  <v:path arrowok="t"/>
                </v:shape>
                <v:shape id="Textbox 13" o:spid="_x0000_s1035" type="#_x0000_t202" style="position:absolute;width:325120;height:4235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k0w8MA&#10;AADaAAAADwAAAGRycy9kb3ducmV2LnhtbESPQWvCQBSE7wX/w/KE3upGD7aNriKiIBTEGA8en9ln&#10;sph9G7Orxn/fFQo9DjPzDTOdd7YWd2q9caxgOEhAEBdOGy4VHPL1xxcIH5A11o5JwZM8zGe9tymm&#10;2j04o/s+lCJC2KeooAqhSaX0RUUW/cA1xNE7u9ZiiLItpW7xEeG2lqMkGUuLhuNChQ0tKyou+5tV&#10;sDhytjLX7WmXnTOT598J/4wvSr33u8UERKAu/If/2hut4BNeV+INk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Pk0w8MAAADaAAAADwAAAAAAAAAAAAAAAACYAgAAZHJzL2Rv&#10;d25yZXYueG1sUEsFBgAAAAAEAAQA9QAAAIgDAAAAAA==&#10;" filled="f" stroked="f">
                  <v:textbox inset="0,0,0,0">
                    <w:txbxContent>
                      <w:p w:rsidR="002609F1" w:rsidRDefault="002609F1" w:rsidP="002609F1">
                        <w:pPr>
                          <w:spacing w:before="11"/>
                          <w:ind w:left="227"/>
                          <w:rPr>
                            <w:i/>
                            <w:sz w:val="24"/>
                          </w:rPr>
                        </w:pPr>
                        <w:r>
                          <w:rPr>
                            <w:i/>
                            <w:spacing w:val="-10"/>
                            <w:sz w:val="24"/>
                          </w:rPr>
                          <w:t>V</w:t>
                        </w:r>
                      </w:p>
                      <w:p w:rsidR="002609F1" w:rsidRDefault="002609F1" w:rsidP="002609F1">
                        <w:pPr>
                          <w:spacing w:before="64"/>
                          <w:ind w:left="182"/>
                          <w:rPr>
                            <w:i/>
                            <w:position w:val="-5"/>
                            <w:sz w:val="14"/>
                          </w:rPr>
                        </w:pPr>
                        <w:r>
                          <w:rPr>
                            <w:i/>
                            <w:spacing w:val="-5"/>
                            <w:sz w:val="24"/>
                          </w:rPr>
                          <w:t>w</w:t>
                        </w:r>
                        <w:r>
                          <w:rPr>
                            <w:i/>
                            <w:spacing w:val="-5"/>
                            <w:position w:val="-5"/>
                            <w:sz w:val="14"/>
                          </w:rPr>
                          <w:t>Г</w:t>
                        </w:r>
                      </w:p>
                    </w:txbxContent>
                  </v:textbox>
                </v:shape>
                <w10:wrap anchorx="page"/>
              </v:group>
            </w:pict>
          </mc:Fallback>
        </mc:AlternateContent>
      </w:r>
      <w:r>
        <w:t>Діаметр</w:t>
      </w:r>
      <w:r>
        <w:rPr>
          <w:spacing w:val="-6"/>
        </w:rPr>
        <w:t xml:space="preserve"> </w:t>
      </w:r>
      <w:r>
        <w:rPr>
          <w:spacing w:val="-2"/>
        </w:rPr>
        <w:t>визначається:</w:t>
      </w:r>
    </w:p>
    <w:p w:rsidR="002609F1" w:rsidRDefault="002609F1" w:rsidP="002609F1">
      <w:pPr>
        <w:widowControl/>
        <w:autoSpaceDE/>
        <w:autoSpaceDN/>
        <w:rPr>
          <w:sz w:val="32"/>
          <w:szCs w:val="32"/>
        </w:rPr>
        <w:sectPr w:rsidR="002609F1">
          <w:pgSz w:w="11910" w:h="16840"/>
          <w:pgMar w:top="480" w:right="708" w:bottom="820" w:left="708" w:header="0" w:footer="568" w:gutter="0"/>
          <w:cols w:space="720"/>
        </w:sectPr>
      </w:pPr>
    </w:p>
    <w:p w:rsidR="002609F1" w:rsidRDefault="002609F1" w:rsidP="002609F1">
      <w:pPr>
        <w:spacing w:before="208"/>
        <w:jc w:val="right"/>
        <w:rPr>
          <w:rFonts w:ascii="Symbol" w:hAnsi="Symbol"/>
          <w:sz w:val="24"/>
        </w:rPr>
      </w:pPr>
      <w:r>
        <w:rPr>
          <w:i/>
          <w:sz w:val="24"/>
        </w:rPr>
        <w:lastRenderedPageBreak/>
        <w:t>D</w:t>
      </w:r>
      <w:r>
        <w:rPr>
          <w:i/>
          <w:spacing w:val="5"/>
          <w:sz w:val="24"/>
        </w:rPr>
        <w:t xml:space="preserve"> </w:t>
      </w:r>
      <w:r>
        <w:rPr>
          <w:rFonts w:ascii="Symbol" w:hAnsi="Symbol"/>
          <w:spacing w:val="-10"/>
          <w:sz w:val="24"/>
        </w:rPr>
        <w:t></w:t>
      </w:r>
    </w:p>
    <w:p w:rsidR="002609F1" w:rsidRDefault="002609F1" w:rsidP="002609F1">
      <w:pPr>
        <w:spacing w:before="208"/>
        <w:ind w:left="715"/>
        <w:rPr>
          <w:sz w:val="24"/>
        </w:rPr>
      </w:pPr>
      <w:r>
        <w:br w:type="column"/>
      </w:r>
      <w:r>
        <w:rPr>
          <w:rFonts w:ascii="Symbol" w:hAnsi="Symbol"/>
          <w:sz w:val="24"/>
        </w:rPr>
        <w:lastRenderedPageBreak/>
        <w:t></w:t>
      </w:r>
      <w:r>
        <w:rPr>
          <w:spacing w:val="-25"/>
          <w:sz w:val="24"/>
        </w:rPr>
        <w:t xml:space="preserve"> </w:t>
      </w:r>
      <w:r>
        <w:rPr>
          <w:spacing w:val="-14"/>
          <w:sz w:val="24"/>
        </w:rPr>
        <w:t>1,13</w:t>
      </w:r>
    </w:p>
    <w:p w:rsidR="002609F1" w:rsidRDefault="002609F1" w:rsidP="002609F1">
      <w:pPr>
        <w:pStyle w:val="a3"/>
        <w:tabs>
          <w:tab w:val="left" w:pos="4037"/>
        </w:tabs>
        <w:spacing w:before="145"/>
        <w:ind w:left="520" w:firstLine="0"/>
        <w:jc w:val="left"/>
      </w:pPr>
      <w:r>
        <w:br w:type="column"/>
      </w:r>
      <w:r>
        <w:rPr>
          <w:spacing w:val="-10"/>
        </w:rPr>
        <w:lastRenderedPageBreak/>
        <w:t>.</w:t>
      </w:r>
      <w:r>
        <w:tab/>
      </w:r>
      <w:r>
        <w:rPr>
          <w:spacing w:val="-5"/>
        </w:rPr>
        <w:t>(3)</w:t>
      </w:r>
    </w:p>
    <w:p w:rsidR="002609F1" w:rsidRDefault="002609F1" w:rsidP="002609F1">
      <w:pPr>
        <w:widowControl/>
        <w:autoSpaceDE/>
        <w:autoSpaceDN/>
        <w:rPr>
          <w:sz w:val="32"/>
          <w:szCs w:val="32"/>
        </w:rPr>
        <w:sectPr w:rsidR="002609F1">
          <w:type w:val="continuous"/>
          <w:pgSz w:w="11910" w:h="16840"/>
          <w:pgMar w:top="480" w:right="708" w:bottom="760" w:left="708" w:header="0" w:footer="568" w:gutter="0"/>
          <w:cols w:num="3" w:space="720" w:equalWidth="0">
            <w:col w:w="4534" w:space="40"/>
            <w:col w:w="1261" w:space="39"/>
            <w:col w:w="4620"/>
          </w:cols>
        </w:sectPr>
      </w:pPr>
    </w:p>
    <w:p w:rsidR="002609F1" w:rsidRDefault="002609F1" w:rsidP="002609F1">
      <w:pPr>
        <w:pStyle w:val="a3"/>
        <w:spacing w:before="305"/>
        <w:ind w:left="708" w:firstLine="0"/>
      </w:pPr>
      <w:r>
        <w:lastRenderedPageBreak/>
        <w:t>У</w:t>
      </w:r>
      <w:r>
        <w:rPr>
          <w:spacing w:val="-10"/>
        </w:rPr>
        <w:t xml:space="preserve"> </w:t>
      </w:r>
      <w:r>
        <w:t>вивідній</w:t>
      </w:r>
      <w:r>
        <w:rPr>
          <w:spacing w:val="-9"/>
        </w:rPr>
        <w:t xml:space="preserve"> </w:t>
      </w:r>
      <w:r>
        <w:t>трубі</w:t>
      </w:r>
      <w:r>
        <w:rPr>
          <w:spacing w:val="-4"/>
        </w:rPr>
        <w:t xml:space="preserve"> </w:t>
      </w:r>
      <w:r>
        <w:t>швидкість</w:t>
      </w:r>
      <w:r>
        <w:rPr>
          <w:spacing w:val="-8"/>
        </w:rPr>
        <w:t xml:space="preserve"> </w:t>
      </w:r>
      <w:r>
        <w:t>газу</w:t>
      </w:r>
      <w:r>
        <w:rPr>
          <w:spacing w:val="-7"/>
        </w:rPr>
        <w:t xml:space="preserve"> </w:t>
      </w:r>
      <w:r>
        <w:t>дорівнює</w:t>
      </w:r>
      <w:r>
        <w:rPr>
          <w:spacing w:val="-9"/>
        </w:rPr>
        <w:t xml:space="preserve"> </w:t>
      </w:r>
      <w:r>
        <w:rPr>
          <w:spacing w:val="-2"/>
        </w:rPr>
        <w:t>4…8м/с.</w:t>
      </w:r>
    </w:p>
    <w:p w:rsidR="002609F1" w:rsidRDefault="002609F1" w:rsidP="002609F1">
      <w:pPr>
        <w:pStyle w:val="a3"/>
        <w:spacing w:before="1"/>
        <w:ind w:right="135"/>
      </w:pPr>
      <w:r>
        <w:t>Ступінь очищення газу від пилу в циклонах – 70…80%. У циклонах рекомендується відділяти</w:t>
      </w:r>
      <w:r>
        <w:rPr>
          <w:spacing w:val="-1"/>
        </w:rPr>
        <w:t xml:space="preserve"> </w:t>
      </w:r>
      <w:r>
        <w:t>від</w:t>
      </w:r>
      <w:r>
        <w:rPr>
          <w:spacing w:val="-1"/>
        </w:rPr>
        <w:t xml:space="preserve"> </w:t>
      </w:r>
      <w:r>
        <w:t>газу</w:t>
      </w:r>
      <w:r>
        <w:rPr>
          <w:spacing w:val="-3"/>
        </w:rPr>
        <w:t xml:space="preserve"> </w:t>
      </w:r>
      <w:r>
        <w:t>тверді частинки</w:t>
      </w:r>
      <w:r>
        <w:rPr>
          <w:spacing w:val="-1"/>
        </w:rPr>
        <w:t xml:space="preserve"> </w:t>
      </w:r>
      <w:r>
        <w:t>розміром не менше</w:t>
      </w:r>
      <w:r>
        <w:rPr>
          <w:spacing w:val="-5"/>
        </w:rPr>
        <w:t xml:space="preserve"> </w:t>
      </w:r>
      <w:r>
        <w:t xml:space="preserve">ніж </w:t>
      </w:r>
      <w:r>
        <w:rPr>
          <w:spacing w:val="-2"/>
        </w:rPr>
        <w:t>10мкм.</w:t>
      </w:r>
    </w:p>
    <w:p w:rsidR="002609F1" w:rsidRDefault="002609F1" w:rsidP="002609F1">
      <w:pPr>
        <w:pStyle w:val="a3"/>
        <w:spacing w:before="1"/>
        <w:ind w:right="137"/>
      </w:pPr>
      <w:r>
        <w:t>Циклони широко використовують для очищення відпрацьованого повітря з сушарок від частинок цукру, молока, у пневмотранспорт них установках для борошна і зерна.</w:t>
      </w:r>
    </w:p>
    <w:p w:rsidR="002609F1" w:rsidRDefault="002609F1" w:rsidP="002609F1">
      <w:pPr>
        <w:pStyle w:val="a3"/>
        <w:ind w:right="137"/>
      </w:pPr>
      <w:proofErr w:type="spellStart"/>
      <w:r>
        <w:t>Гідроциклони</w:t>
      </w:r>
      <w:proofErr w:type="spellEnd"/>
      <w:r>
        <w:t xml:space="preserve"> використовують для</w:t>
      </w:r>
      <w:r>
        <w:rPr>
          <w:spacing w:val="-2"/>
        </w:rPr>
        <w:t xml:space="preserve"> </w:t>
      </w:r>
      <w:r>
        <w:t xml:space="preserve">освітлення і згущення суспензій, а також для класифікації твердих частинок розміром від 10 до 150мкм і більше. Для виділення кукурудзяного крохмалю із суспензії рекомендують </w:t>
      </w:r>
      <w:proofErr w:type="spellStart"/>
      <w:r>
        <w:t>гідроциклони</w:t>
      </w:r>
      <w:proofErr w:type="spellEnd"/>
      <w:r>
        <w:t xml:space="preserve"> діаметром 8…12мм, для картопляного крохмалю – 14…20, піску із вапняного молока, транспортерно-мийної води – 100…500мм.</w:t>
      </w:r>
    </w:p>
    <w:p w:rsidR="002609F1" w:rsidRDefault="002609F1" w:rsidP="002609F1">
      <w:pPr>
        <w:pStyle w:val="a3"/>
        <w:spacing w:before="1"/>
        <w:ind w:right="130"/>
      </w:pPr>
      <w:r>
        <w:rPr>
          <w:i/>
          <w:u w:val="single"/>
        </w:rPr>
        <w:t>Недоліками</w:t>
      </w:r>
      <w:r>
        <w:rPr>
          <w:i/>
        </w:rPr>
        <w:t xml:space="preserve"> </w:t>
      </w:r>
      <w:r>
        <w:t>циклонів і гідро циклонів слід вважати значне спрацювання деталей, які піддаються абразивній</w:t>
      </w:r>
      <w:r>
        <w:rPr>
          <w:spacing w:val="-1"/>
        </w:rPr>
        <w:t xml:space="preserve"> </w:t>
      </w:r>
      <w:r>
        <w:t>дії твердих частинок, що містяться у потоці газу або рідини. Щоб зменшити спрацювання, застосовують змінне покриття з твердого металу, кераміки, пластмас.</w:t>
      </w:r>
    </w:p>
    <w:p w:rsidR="002609F1" w:rsidRDefault="002609F1" w:rsidP="002609F1">
      <w:pPr>
        <w:widowControl/>
        <w:autoSpaceDE/>
        <w:autoSpaceDN/>
        <w:rPr>
          <w:sz w:val="32"/>
          <w:szCs w:val="32"/>
        </w:rPr>
        <w:sectPr w:rsidR="002609F1">
          <w:type w:val="continuous"/>
          <w:pgSz w:w="11910" w:h="16840"/>
          <w:pgMar w:top="480" w:right="708" w:bottom="760" w:left="708" w:header="0" w:footer="568" w:gutter="0"/>
          <w:cols w:space="720"/>
        </w:sectPr>
      </w:pPr>
    </w:p>
    <w:p w:rsidR="002609F1" w:rsidRDefault="002609F1" w:rsidP="002609F1">
      <w:pPr>
        <w:pStyle w:val="a3"/>
        <w:spacing w:before="62"/>
        <w:ind w:right="136"/>
      </w:pPr>
      <w:r>
        <w:lastRenderedPageBreak/>
        <w:t xml:space="preserve">Ступінь очищення в циклонах і гідро циклонах тим більший, чим більший фактор розділення </w:t>
      </w:r>
      <w:proofErr w:type="spellStart"/>
      <w:r>
        <w:rPr>
          <w:i/>
        </w:rPr>
        <w:t>К</w:t>
      </w:r>
      <w:r>
        <w:rPr>
          <w:i/>
          <w:vertAlign w:val="subscript"/>
        </w:rPr>
        <w:t>р</w:t>
      </w:r>
      <w:proofErr w:type="spellEnd"/>
      <w:r>
        <w:t>. Фактор розділення можна збільшити або зменшенням</w:t>
      </w:r>
      <w:r>
        <w:rPr>
          <w:spacing w:val="-3"/>
        </w:rPr>
        <w:t xml:space="preserve"> </w:t>
      </w:r>
      <w:r>
        <w:t>радіуса</w:t>
      </w:r>
      <w:r>
        <w:rPr>
          <w:spacing w:val="-1"/>
        </w:rPr>
        <w:t xml:space="preserve"> </w:t>
      </w:r>
      <w:r>
        <w:t>обертання</w:t>
      </w:r>
      <w:r>
        <w:rPr>
          <w:spacing w:val="-1"/>
        </w:rPr>
        <w:t xml:space="preserve"> </w:t>
      </w:r>
      <w:r>
        <w:t>потоку,</w:t>
      </w:r>
      <w:r>
        <w:rPr>
          <w:spacing w:val="-1"/>
        </w:rPr>
        <w:t xml:space="preserve"> </w:t>
      </w:r>
      <w:r>
        <w:t>який</w:t>
      </w:r>
      <w:r>
        <w:rPr>
          <w:spacing w:val="-1"/>
        </w:rPr>
        <w:t xml:space="preserve"> </w:t>
      </w:r>
      <w:r>
        <w:t>розділяють,</w:t>
      </w:r>
      <w:r>
        <w:rPr>
          <w:spacing w:val="-6"/>
        </w:rPr>
        <w:t xml:space="preserve"> </w:t>
      </w:r>
      <w:r>
        <w:t>або</w:t>
      </w:r>
      <w:r>
        <w:rPr>
          <w:spacing w:val="-5"/>
        </w:rPr>
        <w:t xml:space="preserve"> </w:t>
      </w:r>
      <w:r>
        <w:t>збільшенням його швидкості, що пов’язано із зростанням гідравлічного опору. В той</w:t>
      </w:r>
      <w:r>
        <w:rPr>
          <w:spacing w:val="40"/>
        </w:rPr>
        <w:t xml:space="preserve"> </w:t>
      </w:r>
      <w:r>
        <w:t>же час зменшення радіуса апарата призводить до зниження його продуктивності. Тому</w:t>
      </w:r>
      <w:r>
        <w:rPr>
          <w:spacing w:val="-3"/>
        </w:rPr>
        <w:t xml:space="preserve"> </w:t>
      </w:r>
      <w:r>
        <w:t>при</w:t>
      </w:r>
      <w:r>
        <w:rPr>
          <w:spacing w:val="-5"/>
        </w:rPr>
        <w:t xml:space="preserve"> </w:t>
      </w:r>
      <w:r>
        <w:t>великих</w:t>
      </w:r>
      <w:r>
        <w:rPr>
          <w:spacing w:val="-3"/>
        </w:rPr>
        <w:t xml:space="preserve"> </w:t>
      </w:r>
      <w:r>
        <w:t>витратах</w:t>
      </w:r>
      <w:r>
        <w:rPr>
          <w:spacing w:val="-3"/>
        </w:rPr>
        <w:t xml:space="preserve"> </w:t>
      </w:r>
      <w:r>
        <w:t>запиленого газу</w:t>
      </w:r>
      <w:r>
        <w:rPr>
          <w:spacing w:val="-3"/>
        </w:rPr>
        <w:t xml:space="preserve"> </w:t>
      </w:r>
      <w:r>
        <w:t xml:space="preserve">або суспензії замість одного апарата великого діаметра використовують кілька циклонних елементів меншого діаметра, що об’єднані в одному корпусі і працюють паралельно. Такі циклони і </w:t>
      </w:r>
      <w:proofErr w:type="spellStart"/>
      <w:r>
        <w:t>гідроциклони</w:t>
      </w:r>
      <w:proofErr w:type="spellEnd"/>
      <w:r>
        <w:t xml:space="preserve"> називають </w:t>
      </w:r>
      <w:r>
        <w:rPr>
          <w:i/>
        </w:rPr>
        <w:t xml:space="preserve">батарейними </w:t>
      </w:r>
      <w:r>
        <w:t xml:space="preserve">або, </w:t>
      </w:r>
      <w:r>
        <w:rPr>
          <w:i/>
        </w:rPr>
        <w:t xml:space="preserve">мультициклонами </w:t>
      </w:r>
      <w:r>
        <w:t xml:space="preserve">і </w:t>
      </w:r>
      <w:proofErr w:type="spellStart"/>
      <w:r>
        <w:rPr>
          <w:i/>
        </w:rPr>
        <w:t>мультигідроциклонами</w:t>
      </w:r>
      <w:proofErr w:type="spellEnd"/>
      <w:r>
        <w:t>.</w:t>
      </w:r>
    </w:p>
    <w:p w:rsidR="002609F1" w:rsidRDefault="002609F1" w:rsidP="002609F1">
      <w:pPr>
        <w:pStyle w:val="a3"/>
        <w:ind w:right="137"/>
      </w:pPr>
      <w:r>
        <w:t>Застосовувати батарейні циклони рекомендується тоді, коли масова концентрація пилу в газі становить 10мкм. Ступінь очищення газів – 85…90%. Гідравлічний опір батарейних циклонів – 500…800Па.</w:t>
      </w:r>
    </w:p>
    <w:p w:rsidR="002609F1" w:rsidRDefault="002609F1" w:rsidP="002609F1">
      <w:pPr>
        <w:pStyle w:val="a5"/>
        <w:numPr>
          <w:ilvl w:val="0"/>
          <w:numId w:val="1"/>
        </w:numPr>
        <w:tabs>
          <w:tab w:val="left" w:pos="467"/>
        </w:tabs>
        <w:spacing w:before="61"/>
        <w:ind w:left="467" w:hanging="325"/>
        <w:rPr>
          <w:i/>
          <w:sz w:val="32"/>
        </w:rPr>
      </w:pPr>
      <w:r>
        <w:rPr>
          <w:i/>
          <w:sz w:val="32"/>
        </w:rPr>
        <w:t>Осадження</w:t>
      </w:r>
      <w:r>
        <w:rPr>
          <w:i/>
          <w:spacing w:val="-10"/>
          <w:sz w:val="32"/>
        </w:rPr>
        <w:t xml:space="preserve"> </w:t>
      </w:r>
      <w:r>
        <w:rPr>
          <w:i/>
          <w:sz w:val="32"/>
        </w:rPr>
        <w:t>в</w:t>
      </w:r>
      <w:r>
        <w:rPr>
          <w:i/>
          <w:spacing w:val="-13"/>
          <w:sz w:val="32"/>
        </w:rPr>
        <w:t xml:space="preserve"> </w:t>
      </w:r>
      <w:r>
        <w:rPr>
          <w:i/>
          <w:sz w:val="32"/>
        </w:rPr>
        <w:t>електричному</w:t>
      </w:r>
      <w:r>
        <w:rPr>
          <w:i/>
          <w:spacing w:val="-11"/>
          <w:sz w:val="32"/>
        </w:rPr>
        <w:t xml:space="preserve"> </w:t>
      </w:r>
      <w:r>
        <w:rPr>
          <w:i/>
          <w:spacing w:val="-4"/>
          <w:sz w:val="32"/>
        </w:rPr>
        <w:t>полі.</w:t>
      </w:r>
    </w:p>
    <w:p w:rsidR="002609F1" w:rsidRDefault="002609F1" w:rsidP="002609F1">
      <w:pPr>
        <w:pStyle w:val="a3"/>
        <w:spacing w:before="2"/>
        <w:ind w:right="141"/>
      </w:pPr>
      <w:r>
        <w:t xml:space="preserve">Щоб очистити газ від дуже дрібних частинок (розміром 0,01…10,0мкм), можна використати </w:t>
      </w:r>
      <w:proofErr w:type="spellStart"/>
      <w:r>
        <w:t>електроосаджувачі</w:t>
      </w:r>
      <w:proofErr w:type="spellEnd"/>
      <w:r>
        <w:t>. Принцип дії їх такий: запилений газ або туман іонізується в електричному полі, дисперсні частинки</w:t>
      </w:r>
      <w:r>
        <w:rPr>
          <w:spacing w:val="-3"/>
        </w:rPr>
        <w:t xml:space="preserve"> </w:t>
      </w:r>
      <w:r>
        <w:t>набувають</w:t>
      </w:r>
      <w:r>
        <w:rPr>
          <w:spacing w:val="-1"/>
        </w:rPr>
        <w:t xml:space="preserve"> </w:t>
      </w:r>
      <w:r>
        <w:t>електричного</w:t>
      </w:r>
      <w:r>
        <w:rPr>
          <w:spacing w:val="-1"/>
        </w:rPr>
        <w:t xml:space="preserve"> </w:t>
      </w:r>
      <w:r>
        <w:t>заряду</w:t>
      </w:r>
      <w:r>
        <w:rPr>
          <w:spacing w:val="-5"/>
        </w:rPr>
        <w:t xml:space="preserve"> </w:t>
      </w:r>
      <w:r>
        <w:t>й осідають</w:t>
      </w:r>
      <w:r>
        <w:rPr>
          <w:spacing w:val="-1"/>
        </w:rPr>
        <w:t xml:space="preserve"> </w:t>
      </w:r>
      <w:r>
        <w:t>на одному з електродів, що використовуються для утворення електричного поля і під’єднанні до постійного електричного струму високої напруги.</w:t>
      </w:r>
    </w:p>
    <w:p w:rsidR="002609F1" w:rsidRDefault="002609F1" w:rsidP="002609F1">
      <w:pPr>
        <w:pStyle w:val="a3"/>
        <w:ind w:right="142"/>
      </w:pPr>
      <w:r>
        <w:t>Для</w:t>
      </w:r>
      <w:r>
        <w:rPr>
          <w:spacing w:val="-1"/>
        </w:rPr>
        <w:t xml:space="preserve"> </w:t>
      </w:r>
      <w:r>
        <w:t>стійкої іонізації газу</w:t>
      </w:r>
      <w:r>
        <w:rPr>
          <w:spacing w:val="-4"/>
        </w:rPr>
        <w:t xml:space="preserve"> </w:t>
      </w:r>
      <w:r>
        <w:t>застосовують один з</w:t>
      </w:r>
      <w:r>
        <w:rPr>
          <w:spacing w:val="-4"/>
        </w:rPr>
        <w:t xml:space="preserve"> </w:t>
      </w:r>
      <w:r>
        <w:t>електродів (1)</w:t>
      </w:r>
      <w:r>
        <w:rPr>
          <w:spacing w:val="-4"/>
        </w:rPr>
        <w:t xml:space="preserve"> </w:t>
      </w:r>
      <w:r>
        <w:t>у</w:t>
      </w:r>
      <w:r>
        <w:rPr>
          <w:spacing w:val="-4"/>
        </w:rPr>
        <w:t xml:space="preserve"> </w:t>
      </w:r>
      <w:r>
        <w:t>вигляді тонкого стрижня, другий (2) – у вигляді труби або пластини (рис. 2).</w:t>
      </w:r>
    </w:p>
    <w:p w:rsidR="002609F1" w:rsidRDefault="002609F1" w:rsidP="002609F1">
      <w:pPr>
        <w:pStyle w:val="a3"/>
        <w:spacing w:before="8"/>
        <w:ind w:left="0" w:firstLine="0"/>
        <w:jc w:val="left"/>
        <w:rPr>
          <w:sz w:val="12"/>
        </w:rPr>
      </w:pPr>
      <w:r>
        <w:rPr>
          <w:noProof/>
          <w:lang w:eastAsia="uk-UA"/>
        </w:rPr>
        <w:drawing>
          <wp:anchor distT="0" distB="0" distL="0" distR="0" simplePos="0" relativeHeight="251658240" behindDoc="1" locked="0" layoutInCell="1" allowOverlap="1">
            <wp:simplePos x="0" y="0"/>
            <wp:positionH relativeFrom="page">
              <wp:posOffset>1443990</wp:posOffset>
            </wp:positionH>
            <wp:positionV relativeFrom="paragraph">
              <wp:posOffset>107950</wp:posOffset>
            </wp:positionV>
            <wp:extent cx="4734560" cy="1584325"/>
            <wp:effectExtent l="0" t="0" r="8890" b="0"/>
            <wp:wrapTopAndBottom/>
            <wp:docPr id="2" name="Рисунок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4"/>
                    <pic:cNvPicPr>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34560" cy="1584325"/>
                    </a:xfrm>
                    <a:prstGeom prst="rect">
                      <a:avLst/>
                    </a:prstGeom>
                    <a:noFill/>
                  </pic:spPr>
                </pic:pic>
              </a:graphicData>
            </a:graphic>
            <wp14:sizeRelH relativeFrom="page">
              <wp14:pctWidth>0</wp14:pctWidth>
            </wp14:sizeRelH>
            <wp14:sizeRelV relativeFrom="page">
              <wp14:pctHeight>0</wp14:pctHeight>
            </wp14:sizeRelV>
          </wp:anchor>
        </w:drawing>
      </w:r>
    </w:p>
    <w:p w:rsidR="002609F1" w:rsidRDefault="002609F1" w:rsidP="002609F1">
      <w:pPr>
        <w:pStyle w:val="a3"/>
        <w:spacing w:before="273"/>
        <w:ind w:left="1697" w:firstLine="0"/>
      </w:pPr>
      <w:r>
        <w:t>Рисунок</w:t>
      </w:r>
      <w:r>
        <w:rPr>
          <w:spacing w:val="-6"/>
        </w:rPr>
        <w:t xml:space="preserve"> </w:t>
      </w:r>
      <w:r>
        <w:t>2</w:t>
      </w:r>
      <w:r>
        <w:rPr>
          <w:spacing w:val="-6"/>
        </w:rPr>
        <w:t xml:space="preserve"> </w:t>
      </w:r>
      <w:r>
        <w:t>–</w:t>
      </w:r>
      <w:r>
        <w:rPr>
          <w:spacing w:val="-7"/>
        </w:rPr>
        <w:t xml:space="preserve"> </w:t>
      </w:r>
      <w:r>
        <w:t>Форми</w:t>
      </w:r>
      <w:r>
        <w:rPr>
          <w:spacing w:val="-5"/>
        </w:rPr>
        <w:t xml:space="preserve"> </w:t>
      </w:r>
      <w:r>
        <w:t>електродів</w:t>
      </w:r>
      <w:r>
        <w:rPr>
          <w:spacing w:val="-4"/>
        </w:rPr>
        <w:t xml:space="preserve"> </w:t>
      </w:r>
      <w:proofErr w:type="spellStart"/>
      <w:r>
        <w:rPr>
          <w:spacing w:val="-2"/>
        </w:rPr>
        <w:t>електроосаджувачів</w:t>
      </w:r>
      <w:proofErr w:type="spellEnd"/>
      <w:r>
        <w:rPr>
          <w:spacing w:val="-2"/>
        </w:rPr>
        <w:t>.</w:t>
      </w:r>
    </w:p>
    <w:p w:rsidR="002609F1" w:rsidRDefault="002609F1" w:rsidP="002609F1">
      <w:pPr>
        <w:pStyle w:val="a3"/>
        <w:spacing w:before="64"/>
        <w:ind w:right="142"/>
      </w:pPr>
      <w:r>
        <w:t>Завдяки такій формі електродів напруженість електричного поля між електродами нерівномірна: найбільша вона біля електрода у вигляді стрижня і підтримується такою для існування коронного розряду.</w:t>
      </w:r>
    </w:p>
    <w:p w:rsidR="002609F1" w:rsidRDefault="002609F1" w:rsidP="002609F1">
      <w:pPr>
        <w:pStyle w:val="a3"/>
        <w:ind w:right="133"/>
      </w:pPr>
      <w:r>
        <w:t xml:space="preserve">Електрод, що коронує, найчастіше підключають до негативного полюса і називають </w:t>
      </w:r>
      <w:proofErr w:type="spellStart"/>
      <w:r>
        <w:rPr>
          <w:i/>
        </w:rPr>
        <w:t>коронувальним</w:t>
      </w:r>
      <w:proofErr w:type="spellEnd"/>
      <w:r>
        <w:t xml:space="preserve">. В цьому разі більшість дисперсних частинок набуває негативного заряду, вони рухаються до позитивного електрода й осідають на ньому. Такий електрод має назву </w:t>
      </w:r>
      <w:proofErr w:type="spellStart"/>
      <w:r>
        <w:rPr>
          <w:i/>
          <w:spacing w:val="-2"/>
        </w:rPr>
        <w:t>осаджувального</w:t>
      </w:r>
      <w:proofErr w:type="spellEnd"/>
      <w:r>
        <w:rPr>
          <w:spacing w:val="-2"/>
        </w:rPr>
        <w:t>.</w:t>
      </w:r>
    </w:p>
    <w:p w:rsidR="002609F1" w:rsidRDefault="002609F1" w:rsidP="002609F1">
      <w:pPr>
        <w:pStyle w:val="a3"/>
        <w:spacing w:before="7" w:line="235" w:lineRule="auto"/>
        <w:ind w:right="139"/>
      </w:pPr>
      <w:r>
        <w:t xml:space="preserve">Якщо частинки електропровідні, то вони віддають свій заряд </w:t>
      </w:r>
      <w:proofErr w:type="spellStart"/>
      <w:r>
        <w:t>осаджувальному</w:t>
      </w:r>
      <w:proofErr w:type="spellEnd"/>
      <w:r>
        <w:rPr>
          <w:spacing w:val="71"/>
        </w:rPr>
        <w:t xml:space="preserve">  </w:t>
      </w:r>
      <w:r>
        <w:t>електроду,</w:t>
      </w:r>
      <w:r>
        <w:rPr>
          <w:spacing w:val="76"/>
        </w:rPr>
        <w:t xml:space="preserve">  </w:t>
      </w:r>
      <w:r>
        <w:t>якщо</w:t>
      </w:r>
      <w:r>
        <w:rPr>
          <w:spacing w:val="74"/>
        </w:rPr>
        <w:t xml:space="preserve">  </w:t>
      </w:r>
      <w:proofErr w:type="spellStart"/>
      <w:r>
        <w:t>неелектропровідні</w:t>
      </w:r>
      <w:proofErr w:type="spellEnd"/>
      <w:r>
        <w:t>,</w:t>
      </w:r>
      <w:r>
        <w:rPr>
          <w:spacing w:val="76"/>
        </w:rPr>
        <w:t xml:space="preserve">  </w:t>
      </w:r>
      <w:r>
        <w:t>та</w:t>
      </w:r>
      <w:r>
        <w:rPr>
          <w:spacing w:val="74"/>
        </w:rPr>
        <w:t xml:space="preserve">  </w:t>
      </w:r>
      <w:r>
        <w:rPr>
          <w:spacing w:val="-2"/>
        </w:rPr>
        <w:t>поверхня</w:t>
      </w:r>
    </w:p>
    <w:p w:rsidR="002609F1" w:rsidRDefault="002609F1" w:rsidP="002609F1">
      <w:pPr>
        <w:widowControl/>
        <w:autoSpaceDE/>
        <w:autoSpaceDN/>
        <w:spacing w:line="235" w:lineRule="auto"/>
        <w:rPr>
          <w:sz w:val="32"/>
          <w:szCs w:val="32"/>
        </w:rPr>
        <w:sectPr w:rsidR="002609F1">
          <w:pgSz w:w="11910" w:h="16840"/>
          <w:pgMar w:top="480" w:right="708" w:bottom="820" w:left="708" w:header="0" w:footer="568" w:gutter="0"/>
          <w:cols w:space="720"/>
        </w:sectPr>
      </w:pPr>
    </w:p>
    <w:p w:rsidR="002609F1" w:rsidRDefault="002609F1" w:rsidP="002609F1">
      <w:pPr>
        <w:pStyle w:val="a3"/>
        <w:spacing w:before="62"/>
        <w:ind w:right="138" w:firstLine="0"/>
      </w:pPr>
      <w:r>
        <w:lastRenderedPageBreak/>
        <w:t xml:space="preserve">електрода вкривається шаром частинок, що утворюють електричний екран. Робота </w:t>
      </w:r>
      <w:proofErr w:type="spellStart"/>
      <w:r>
        <w:t>електроосаджувача</w:t>
      </w:r>
      <w:proofErr w:type="spellEnd"/>
      <w:r>
        <w:t xml:space="preserve"> погіршується. Щоб частинки стали електропровідними, газ зволожують.</w:t>
      </w:r>
    </w:p>
    <w:p w:rsidR="002609F1" w:rsidRDefault="002609F1" w:rsidP="002609F1">
      <w:pPr>
        <w:pStyle w:val="a3"/>
        <w:ind w:right="142"/>
      </w:pPr>
      <w:r>
        <w:t xml:space="preserve">Шар пилу з електродів видаляють, вимикаючи струм і струшуючи електроди. У деяких конструкціях осаджувачів осад змивають плівкою рідини, що безперервно стікає по поверхні </w:t>
      </w:r>
      <w:proofErr w:type="spellStart"/>
      <w:r>
        <w:t>осаджувальних</w:t>
      </w:r>
      <w:proofErr w:type="spellEnd"/>
      <w:r>
        <w:t xml:space="preserve"> електродів. Якщо рідина електропровідна, то вона сама може бути електродом, стікаючи по дерев’яній, керамічній або скляній поверхні.</w:t>
      </w:r>
    </w:p>
    <w:p w:rsidR="002609F1" w:rsidRDefault="002609F1" w:rsidP="002609F1">
      <w:pPr>
        <w:pStyle w:val="a3"/>
        <w:ind w:right="135"/>
      </w:pPr>
      <w:proofErr w:type="spellStart"/>
      <w:r>
        <w:t>Електроосаджувачі</w:t>
      </w:r>
      <w:proofErr w:type="spellEnd"/>
      <w:r>
        <w:t xml:space="preserve"> використовують в умовах, коли масова концентрація пилу в газі не перевищує 0,05кг/м</w:t>
      </w:r>
      <w:r>
        <w:rPr>
          <w:vertAlign w:val="superscript"/>
        </w:rPr>
        <w:t>3</w:t>
      </w:r>
      <w:r>
        <w:t>. Їх гідравлічний опір дуже малий – 100…200Па. Сила струму – 0,1…0,5мА на 1м</w:t>
      </w:r>
      <w:r>
        <w:rPr>
          <w:vertAlign w:val="superscript"/>
        </w:rPr>
        <w:t>2</w:t>
      </w:r>
      <w:r>
        <w:t xml:space="preserve"> розрахункової площі </w:t>
      </w:r>
      <w:proofErr w:type="spellStart"/>
      <w:r>
        <w:t>осаджувального</w:t>
      </w:r>
      <w:proofErr w:type="spellEnd"/>
      <w:r>
        <w:t xml:space="preserve"> електрода. Напруга між електродами</w:t>
      </w:r>
      <w:r>
        <w:rPr>
          <w:spacing w:val="-1"/>
        </w:rPr>
        <w:t xml:space="preserve"> </w:t>
      </w:r>
      <w:r>
        <w:t>– 80…100кВ.</w:t>
      </w:r>
      <w:r>
        <w:rPr>
          <w:spacing w:val="-7"/>
        </w:rPr>
        <w:t xml:space="preserve"> </w:t>
      </w:r>
      <w:r>
        <w:t>Відстань</w:t>
      </w:r>
      <w:r>
        <w:rPr>
          <w:spacing w:val="-1"/>
        </w:rPr>
        <w:t xml:space="preserve"> </w:t>
      </w:r>
      <w:r>
        <w:t>між</w:t>
      </w:r>
      <w:r>
        <w:rPr>
          <w:spacing w:val="-4"/>
        </w:rPr>
        <w:t xml:space="preserve"> </w:t>
      </w:r>
      <w:proofErr w:type="spellStart"/>
      <w:r>
        <w:t>осаджувальними</w:t>
      </w:r>
      <w:proofErr w:type="spellEnd"/>
      <w:r>
        <w:rPr>
          <w:spacing w:val="-7"/>
        </w:rPr>
        <w:t xml:space="preserve"> </w:t>
      </w:r>
      <w:r>
        <w:t>пластинчастими електродами і діаметр трубчастих електродів коливаються в межах 150…375мм. Швидкість газу між електродами – 0,9…3,0м/с.</w:t>
      </w:r>
    </w:p>
    <w:p w:rsidR="002609F1" w:rsidRDefault="002609F1" w:rsidP="002609F1">
      <w:pPr>
        <w:pStyle w:val="a3"/>
        <w:spacing w:before="2"/>
        <w:ind w:right="139"/>
      </w:pPr>
      <w:r>
        <w:t xml:space="preserve">Один із процесів розділення суспензій – </w:t>
      </w:r>
      <w:r>
        <w:rPr>
          <w:i/>
        </w:rPr>
        <w:t>флотація</w:t>
      </w:r>
      <w:r>
        <w:t xml:space="preserve">. Під час флотації суспензія насичується газовими бульбашками, які злипаються з дисперсними частинками. Спливаючи, бульбашки виносять на поверхню суспензії частинки, утворюючи шар піни, збагаченої твердою фазою. </w:t>
      </w:r>
      <w:r>
        <w:rPr>
          <w:i/>
        </w:rPr>
        <w:t xml:space="preserve">Флотатори </w:t>
      </w:r>
      <w:r>
        <w:t xml:space="preserve">– це апарати, в яких здійснюється процес флотації. Їх використовують для вилучення жиру і </w:t>
      </w:r>
      <w:proofErr w:type="spellStart"/>
      <w:r>
        <w:t>диспергованих</w:t>
      </w:r>
      <w:proofErr w:type="spellEnd"/>
      <w:r>
        <w:t xml:space="preserve"> частинок із стічних вод м’ясопереробних підприємств, для освітлення фруктових соків.</w:t>
      </w:r>
    </w:p>
    <w:p w:rsidR="002609F1" w:rsidRDefault="002609F1" w:rsidP="002609F1">
      <w:pPr>
        <w:pStyle w:val="a3"/>
        <w:ind w:left="0" w:firstLine="0"/>
        <w:jc w:val="left"/>
      </w:pPr>
    </w:p>
    <w:p w:rsidR="002609F1" w:rsidRDefault="002609F1" w:rsidP="002609F1">
      <w:pPr>
        <w:pStyle w:val="a3"/>
        <w:spacing w:before="107"/>
        <w:ind w:left="0" w:firstLine="0"/>
        <w:jc w:val="left"/>
      </w:pPr>
    </w:p>
    <w:p w:rsidR="00EC131F" w:rsidRPr="002609F1" w:rsidRDefault="00EC131F">
      <w:pPr>
        <w:rPr>
          <w:sz w:val="24"/>
          <w:szCs w:val="24"/>
        </w:rPr>
      </w:pPr>
      <w:bookmarkStart w:id="0" w:name="_GoBack"/>
      <w:bookmarkEnd w:id="0"/>
    </w:p>
    <w:sectPr w:rsidR="00EC131F" w:rsidRPr="002609F1">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045F3B"/>
    <w:multiLevelType w:val="hybridMultilevel"/>
    <w:tmpl w:val="5412B560"/>
    <w:lvl w:ilvl="0" w:tplc="A980078C">
      <w:start w:val="1"/>
      <w:numFmt w:val="decimal"/>
      <w:lvlText w:val="%1."/>
      <w:lvlJc w:val="left"/>
      <w:pPr>
        <w:ind w:left="468" w:hanging="327"/>
      </w:pPr>
      <w:rPr>
        <w:rFonts w:ascii="Times New Roman" w:eastAsia="Times New Roman" w:hAnsi="Times New Roman" w:cs="Times New Roman" w:hint="default"/>
        <w:b w:val="0"/>
        <w:bCs w:val="0"/>
        <w:i/>
        <w:iCs/>
        <w:spacing w:val="0"/>
        <w:w w:val="100"/>
        <w:sz w:val="32"/>
        <w:szCs w:val="32"/>
        <w:lang w:val="uk-UA" w:eastAsia="en-US" w:bidi="ar-SA"/>
      </w:rPr>
    </w:lvl>
    <w:lvl w:ilvl="1" w:tplc="03ECC3EE">
      <w:start w:val="1"/>
      <w:numFmt w:val="decimal"/>
      <w:lvlText w:val="%2)"/>
      <w:lvlJc w:val="left"/>
      <w:pPr>
        <w:ind w:left="142" w:hanging="431"/>
      </w:pPr>
      <w:rPr>
        <w:rFonts w:ascii="Times New Roman" w:eastAsia="Times New Roman" w:hAnsi="Times New Roman" w:cs="Times New Roman" w:hint="default"/>
        <w:b w:val="0"/>
        <w:bCs w:val="0"/>
        <w:i w:val="0"/>
        <w:iCs w:val="0"/>
        <w:spacing w:val="0"/>
        <w:w w:val="100"/>
        <w:sz w:val="32"/>
        <w:szCs w:val="32"/>
        <w:lang w:val="uk-UA" w:eastAsia="en-US" w:bidi="ar-SA"/>
      </w:rPr>
    </w:lvl>
    <w:lvl w:ilvl="2" w:tplc="19CADDAC">
      <w:numFmt w:val="bullet"/>
      <w:lvlText w:val="•"/>
      <w:lvlJc w:val="left"/>
      <w:pPr>
        <w:ind w:left="1574" w:hanging="431"/>
      </w:pPr>
      <w:rPr>
        <w:lang w:val="uk-UA" w:eastAsia="en-US" w:bidi="ar-SA"/>
      </w:rPr>
    </w:lvl>
    <w:lvl w:ilvl="3" w:tplc="9DFAE8FC">
      <w:numFmt w:val="bullet"/>
      <w:lvlText w:val="•"/>
      <w:lvlJc w:val="left"/>
      <w:pPr>
        <w:ind w:left="2688" w:hanging="431"/>
      </w:pPr>
      <w:rPr>
        <w:lang w:val="uk-UA" w:eastAsia="en-US" w:bidi="ar-SA"/>
      </w:rPr>
    </w:lvl>
    <w:lvl w:ilvl="4" w:tplc="B8D09F72">
      <w:numFmt w:val="bullet"/>
      <w:lvlText w:val="•"/>
      <w:lvlJc w:val="left"/>
      <w:pPr>
        <w:ind w:left="3802" w:hanging="431"/>
      </w:pPr>
      <w:rPr>
        <w:lang w:val="uk-UA" w:eastAsia="en-US" w:bidi="ar-SA"/>
      </w:rPr>
    </w:lvl>
    <w:lvl w:ilvl="5" w:tplc="4F20F92E">
      <w:numFmt w:val="bullet"/>
      <w:lvlText w:val="•"/>
      <w:lvlJc w:val="left"/>
      <w:pPr>
        <w:ind w:left="4916" w:hanging="431"/>
      </w:pPr>
      <w:rPr>
        <w:lang w:val="uk-UA" w:eastAsia="en-US" w:bidi="ar-SA"/>
      </w:rPr>
    </w:lvl>
    <w:lvl w:ilvl="6" w:tplc="1382A9EA">
      <w:numFmt w:val="bullet"/>
      <w:lvlText w:val="•"/>
      <w:lvlJc w:val="left"/>
      <w:pPr>
        <w:ind w:left="6031" w:hanging="431"/>
      </w:pPr>
      <w:rPr>
        <w:lang w:val="uk-UA" w:eastAsia="en-US" w:bidi="ar-SA"/>
      </w:rPr>
    </w:lvl>
    <w:lvl w:ilvl="7" w:tplc="1E5AB1EA">
      <w:numFmt w:val="bullet"/>
      <w:lvlText w:val="•"/>
      <w:lvlJc w:val="left"/>
      <w:pPr>
        <w:ind w:left="7145" w:hanging="431"/>
      </w:pPr>
      <w:rPr>
        <w:lang w:val="uk-UA" w:eastAsia="en-US" w:bidi="ar-SA"/>
      </w:rPr>
    </w:lvl>
    <w:lvl w:ilvl="8" w:tplc="DC7876B0">
      <w:numFmt w:val="bullet"/>
      <w:lvlText w:val="•"/>
      <w:lvlJc w:val="left"/>
      <w:pPr>
        <w:ind w:left="8259" w:hanging="431"/>
      </w:pPr>
      <w:rPr>
        <w:lang w:val="uk-UA" w:eastAsia="en-US" w:bidi="ar-SA"/>
      </w:rPr>
    </w:lvl>
  </w:abstractNum>
  <w:num w:numId="1">
    <w:abstractNumId w:val="0"/>
    <w:lvlOverride w:ilvl="0">
      <w:startOverride w:val="1"/>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09F1"/>
    <w:rsid w:val="002609F1"/>
    <w:rsid w:val="00EC131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2609F1"/>
    <w:pPr>
      <w:widowControl w:val="0"/>
      <w:autoSpaceDE w:val="0"/>
      <w:autoSpaceDN w:val="0"/>
      <w:spacing w:after="0" w:line="240" w:lineRule="auto"/>
    </w:pPr>
    <w:rPr>
      <w:rFonts w:ascii="Times New Roman" w:eastAsia="Times New Roman" w:hAnsi="Times New Roman" w:cs="Times New Roman"/>
    </w:rPr>
  </w:style>
  <w:style w:type="paragraph" w:styleId="3">
    <w:name w:val="heading 3"/>
    <w:basedOn w:val="a"/>
    <w:link w:val="30"/>
    <w:uiPriority w:val="1"/>
    <w:semiHidden/>
    <w:unhideWhenUsed/>
    <w:qFormat/>
    <w:rsid w:val="002609F1"/>
    <w:pPr>
      <w:ind w:left="3467" w:right="3457"/>
      <w:jc w:val="center"/>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1"/>
    <w:semiHidden/>
    <w:rsid w:val="002609F1"/>
    <w:rPr>
      <w:rFonts w:ascii="Times New Roman" w:eastAsia="Times New Roman" w:hAnsi="Times New Roman" w:cs="Times New Roman"/>
      <w:b/>
      <w:bCs/>
      <w:sz w:val="32"/>
      <w:szCs w:val="32"/>
    </w:rPr>
  </w:style>
  <w:style w:type="paragraph" w:styleId="a3">
    <w:name w:val="Body Text"/>
    <w:basedOn w:val="a"/>
    <w:link w:val="a4"/>
    <w:uiPriority w:val="1"/>
    <w:semiHidden/>
    <w:unhideWhenUsed/>
    <w:qFormat/>
    <w:rsid w:val="002609F1"/>
    <w:pPr>
      <w:ind w:left="142" w:firstLine="566"/>
      <w:jc w:val="both"/>
    </w:pPr>
    <w:rPr>
      <w:sz w:val="32"/>
      <w:szCs w:val="32"/>
    </w:rPr>
  </w:style>
  <w:style w:type="character" w:customStyle="1" w:styleId="a4">
    <w:name w:val="Основной текст Знак"/>
    <w:basedOn w:val="a0"/>
    <w:link w:val="a3"/>
    <w:uiPriority w:val="1"/>
    <w:semiHidden/>
    <w:rsid w:val="002609F1"/>
    <w:rPr>
      <w:rFonts w:ascii="Times New Roman" w:eastAsia="Times New Roman" w:hAnsi="Times New Roman" w:cs="Times New Roman"/>
      <w:sz w:val="32"/>
      <w:szCs w:val="32"/>
    </w:rPr>
  </w:style>
  <w:style w:type="paragraph" w:styleId="a5">
    <w:name w:val="List Paragraph"/>
    <w:basedOn w:val="a"/>
    <w:uiPriority w:val="1"/>
    <w:qFormat/>
    <w:rsid w:val="002609F1"/>
    <w:pPr>
      <w:ind w:left="142" w:firstLine="566"/>
      <w:jc w:val="both"/>
    </w:pPr>
  </w:style>
  <w:style w:type="paragraph" w:customStyle="1" w:styleId="TableParagraph">
    <w:name w:val="Table Paragraph"/>
    <w:basedOn w:val="a"/>
    <w:uiPriority w:val="1"/>
    <w:qFormat/>
    <w:rsid w:val="002609F1"/>
  </w:style>
  <w:style w:type="table" w:customStyle="1" w:styleId="TableNormal">
    <w:name w:val="Table Normal"/>
    <w:uiPriority w:val="2"/>
    <w:semiHidden/>
    <w:qFormat/>
    <w:rsid w:val="002609F1"/>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styleId="a6">
    <w:name w:val="Balloon Text"/>
    <w:basedOn w:val="a"/>
    <w:link w:val="a7"/>
    <w:uiPriority w:val="99"/>
    <w:semiHidden/>
    <w:unhideWhenUsed/>
    <w:rsid w:val="002609F1"/>
    <w:rPr>
      <w:rFonts w:ascii="Tahoma" w:hAnsi="Tahoma" w:cs="Tahoma"/>
      <w:sz w:val="16"/>
      <w:szCs w:val="16"/>
    </w:rPr>
  </w:style>
  <w:style w:type="character" w:customStyle="1" w:styleId="a7">
    <w:name w:val="Текст выноски Знак"/>
    <w:basedOn w:val="a0"/>
    <w:link w:val="a6"/>
    <w:uiPriority w:val="99"/>
    <w:semiHidden/>
    <w:rsid w:val="002609F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2609F1"/>
    <w:pPr>
      <w:widowControl w:val="0"/>
      <w:autoSpaceDE w:val="0"/>
      <w:autoSpaceDN w:val="0"/>
      <w:spacing w:after="0" w:line="240" w:lineRule="auto"/>
    </w:pPr>
    <w:rPr>
      <w:rFonts w:ascii="Times New Roman" w:eastAsia="Times New Roman" w:hAnsi="Times New Roman" w:cs="Times New Roman"/>
    </w:rPr>
  </w:style>
  <w:style w:type="paragraph" w:styleId="3">
    <w:name w:val="heading 3"/>
    <w:basedOn w:val="a"/>
    <w:link w:val="30"/>
    <w:uiPriority w:val="1"/>
    <w:semiHidden/>
    <w:unhideWhenUsed/>
    <w:qFormat/>
    <w:rsid w:val="002609F1"/>
    <w:pPr>
      <w:ind w:left="3467" w:right="3457"/>
      <w:jc w:val="center"/>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1"/>
    <w:semiHidden/>
    <w:rsid w:val="002609F1"/>
    <w:rPr>
      <w:rFonts w:ascii="Times New Roman" w:eastAsia="Times New Roman" w:hAnsi="Times New Roman" w:cs="Times New Roman"/>
      <w:b/>
      <w:bCs/>
      <w:sz w:val="32"/>
      <w:szCs w:val="32"/>
    </w:rPr>
  </w:style>
  <w:style w:type="paragraph" w:styleId="a3">
    <w:name w:val="Body Text"/>
    <w:basedOn w:val="a"/>
    <w:link w:val="a4"/>
    <w:uiPriority w:val="1"/>
    <w:semiHidden/>
    <w:unhideWhenUsed/>
    <w:qFormat/>
    <w:rsid w:val="002609F1"/>
    <w:pPr>
      <w:ind w:left="142" w:firstLine="566"/>
      <w:jc w:val="both"/>
    </w:pPr>
    <w:rPr>
      <w:sz w:val="32"/>
      <w:szCs w:val="32"/>
    </w:rPr>
  </w:style>
  <w:style w:type="character" w:customStyle="1" w:styleId="a4">
    <w:name w:val="Основной текст Знак"/>
    <w:basedOn w:val="a0"/>
    <w:link w:val="a3"/>
    <w:uiPriority w:val="1"/>
    <w:semiHidden/>
    <w:rsid w:val="002609F1"/>
    <w:rPr>
      <w:rFonts w:ascii="Times New Roman" w:eastAsia="Times New Roman" w:hAnsi="Times New Roman" w:cs="Times New Roman"/>
      <w:sz w:val="32"/>
      <w:szCs w:val="32"/>
    </w:rPr>
  </w:style>
  <w:style w:type="paragraph" w:styleId="a5">
    <w:name w:val="List Paragraph"/>
    <w:basedOn w:val="a"/>
    <w:uiPriority w:val="1"/>
    <w:qFormat/>
    <w:rsid w:val="002609F1"/>
    <w:pPr>
      <w:ind w:left="142" w:firstLine="566"/>
      <w:jc w:val="both"/>
    </w:pPr>
  </w:style>
  <w:style w:type="paragraph" w:customStyle="1" w:styleId="TableParagraph">
    <w:name w:val="Table Paragraph"/>
    <w:basedOn w:val="a"/>
    <w:uiPriority w:val="1"/>
    <w:qFormat/>
    <w:rsid w:val="002609F1"/>
  </w:style>
  <w:style w:type="table" w:customStyle="1" w:styleId="TableNormal">
    <w:name w:val="Table Normal"/>
    <w:uiPriority w:val="2"/>
    <w:semiHidden/>
    <w:qFormat/>
    <w:rsid w:val="002609F1"/>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styleId="a6">
    <w:name w:val="Balloon Text"/>
    <w:basedOn w:val="a"/>
    <w:link w:val="a7"/>
    <w:uiPriority w:val="99"/>
    <w:semiHidden/>
    <w:unhideWhenUsed/>
    <w:rsid w:val="002609F1"/>
    <w:rPr>
      <w:rFonts w:ascii="Tahoma" w:hAnsi="Tahoma" w:cs="Tahoma"/>
      <w:sz w:val="16"/>
      <w:szCs w:val="16"/>
    </w:rPr>
  </w:style>
  <w:style w:type="character" w:customStyle="1" w:styleId="a7">
    <w:name w:val="Текст выноски Знак"/>
    <w:basedOn w:val="a0"/>
    <w:link w:val="a6"/>
    <w:uiPriority w:val="99"/>
    <w:semiHidden/>
    <w:rsid w:val="002609F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2090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5850</Words>
  <Characters>3335</Characters>
  <Application>Microsoft Office Word</Application>
  <DocSecurity>0</DocSecurity>
  <Lines>27</Lines>
  <Paragraphs>18</Paragraphs>
  <ScaleCrop>false</ScaleCrop>
  <Company/>
  <LinksUpToDate>false</LinksUpToDate>
  <CharactersWithSpaces>9167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2</cp:revision>
  <dcterms:created xsi:type="dcterms:W3CDTF">2026-09-20T19:13:00Z</dcterms:created>
  <dcterms:modified xsi:type="dcterms:W3CDTF">2026-09-20T19:20:00Z</dcterms:modified>
</cp:coreProperties>
</file>